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Jonah Yakel</w:t>
      </w:r>
    </w:p>
    <w:p>
      <w:pPr/>
      <w:r>
        <w:rPr/>
        <w:t xml:space="preserve">License No. [LICENSE NUMBER, IF KNOWN]</w:t>
      </w:r>
    </w:p>
    <w:p>
      <w:pPr/>
      <w:r>
        <w:rPr/>
        <w:t xml:space="preserve">NPI (public registry): 1619145026</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Jonah Yakel (the Respondent), identified in the attached public materials.</w:t>
      </w:r>
    </w:p>
    <w:p>
      <w:pPr/>
      <w:r>
        <w:rPr/>
        <w:t xml:space="preserve">The public materials reviewed appear to present representations concerning the identification and management of health conditions, including Mold exposure root-cause style counseling, that may extend beyond the D.C. scope in Kansas.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https://www.facebook.com/photo.php?fbid=1216039470204576&amp;set=a.533674328441097&amp;type=3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representations: "Mold in our living environments can do more than just damage our homes, it can harm our brains." It further states, "Prolonged exposure to mold releases mycotoxins, which are toxic substances that can lead to a range of neurological issues, including cognitive decline," and, "When you breathe in air contaminated with mold spores, these toxins can enter your bloodstream and make their way to your brain, causing inflammation and disrupting normal brain function." The same public content also advises, "Inspect your home regularly for signs of mold, especially in damp areas."</w:t>
      </w:r>
    </w:p>
    <w:p>
      <w:pPr>
        <w:pStyle w:val="Heading2"/>
      </w:pPr>
      <w:r>
        <w:rPr/>
        <w:t xml:space="preserve">B. Scope of Practice Concerns</w:t>
      </w:r>
    </w:p>
    <w:p>
      <w:pPr/>
      <w:r>
        <w:rPr/>
        <w:t xml:space="preserve">Public content appears to address Mold exposure root-cause style counseling, which the cited rule text suggests may fall outside the D.C. scope in Kansas.</w:t>
      </w:r>
    </w:p>
    <w:p>
      <w:pPr>
        <w:pStyle w:val="Heading2"/>
      </w:pPr>
      <w:r>
        <w:rPr/>
        <w:t xml:space="preserve">C. Consultation and Monetization Structure</w:t>
      </w:r>
    </w:p>
    <w:p>
      <w:pPr/>
      <w:r>
        <w:rPr/>
        <w:t xml:space="preserve">Public materials appear to describe the following consultation and monetization structure: Kickback/affiliate signals on 1 source(s).</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Mold exposure root-cause style counseling,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consultation and product-sales structure described above appears to tie the health-related representations to paid consultations, care plans, and product sales offered to the same audience.</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https://www.facebook.com/photo.php?fbid=1216039470204576&amp;set=a.533674328441097&amp;type=3</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