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Kansas. It is not legal advice.</w:t>
      </w:r>
    </w:p>
    <w:p>
      <w:pPr>
        <w:jc w:val="center"/>
      </w:pPr>
      <w:r>
        <w:rPr>
          <w:b/>
        </w:rPr>
        <w:t xml:space="preserve">KANSAS STATE BOARD OF HEALING ARTS</w:t>
      </w:r>
    </w:p>
    <w:p>
      <w:pPr>
        <w:pStyle w:val="Heading1"/>
        <w:jc w:val="center"/>
      </w:pPr>
      <w:r>
        <w:rPr/>
        <w:t xml:space="preserve">FORMAL COMPLAINT REQUESTING INVESTIGATION AND REVIEW</w:t>
      </w:r>
    </w:p>
    <w:p>
      <w:pPr/>
      <w:r>
        <w:rPr>
          <w:b/>
        </w:rPr>
        <w:t xml:space="preserve">In the Matter of:</w:t>
      </w:r>
    </w:p>
    <w:p>
      <w:pPr/>
      <w:r>
        <w:rPr/>
        <w:t xml:space="preserve">Jonah Dallas Yakel</w:t>
      </w:r>
    </w:p>
    <w:p>
      <w:pPr/>
      <w:r>
        <w:rPr/>
        <w:t xml:space="preserve">License No. [LICENSE NUMBER, IF KNOWN]</w:t>
      </w:r>
    </w:p>
    <w:p>
      <w:pPr/>
      <w:r>
        <w:rPr/>
        <w:t xml:space="preserve">NPI (public registry): 1619145026</w:t>
      </w:r>
    </w:p>
    <w:p>
      <w:pPr>
        <w:pStyle w:val="Heading1"/>
      </w:pPr>
      <w:r>
        <w:rPr/>
        <w:t xml:space="preserve">I. INTRODUCTION</w:t>
      </w:r>
    </w:p>
    <w:p>
      <w:pPr/>
      <w:r>
        <w:rPr/>
        <w:t xml:space="preserve">Complainant respectfully submits this complaint to the Kansas State Board of Healing Arts requesting formal investigation and regulatory review concerning Jonah Dallas Yakel (the Respondent), identified in the attached public materials.</w:t>
      </w:r>
    </w:p>
    <w:p>
      <w:pPr/>
      <w:r>
        <w:rPr/>
        <w:t xml:space="preserve">The public materials reviewed appear to present representations concerning the identification and management of health conditions, including ADHD, Cognitive decline, dementia, and Alzheimer's disease, Anxiety and depression, Autoimmune conditions, Mold and Lyme related illness, and healing from CIRS. A chiropractic license in Kansas covers the spine, joints and muscles. It does not cover diagnosing or treating these conditions. In their own published words, the Respondent presents themselves as qualified to treat, or gives advice on, conditions that a published medical registry classes under its heading for infants and children. In the registry's own terms, that is ADHD. The materials also appear to describe paid consultations, care plans, or product sales offered in connection with those representations.</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https://www.facebook.com/photo.php?fbid=1216039470204576&amp;set=a.533674328441097&amp;type=3, https://www.drjonahyakel.com and the public registry and license verification sources listed in the exhibit index below.</w:t>
      </w:r>
    </w:p>
    <w:p>
      <w:pPr>
        <w:pStyle w:val="Heading1"/>
      </w:pPr>
      <w:r>
        <w:rPr/>
        <w:t xml:space="preserve">II. STATEMENT OF FACTS</w:t>
      </w:r>
    </w:p>
    <w:p>
      <w:pPr>
        <w:pStyle w:val="Heading2"/>
      </w:pPr>
      <w:r>
        <w:rPr/>
        <w:t xml:space="preserve">A. Public Marketing Representations</w:t>
      </w:r>
    </w:p>
    <w:p>
      <w:pPr/>
      <w:r>
        <w:rPr/>
        <w:t xml:space="preserve">Publicly posted content appears to make the following representation, "Mold in our living environments can do more than just damage our homes, it can harm our brains." Publicly posted content also appears to make the following representation, "Prolonged exposure to mold releases mycotoxins, which are toxic substances that can lead to a range of neurological issues, including cognitive decline." Publicly posted content further appears to make the following representation, "When you breathe in air contaminated with mold spores, these toxins can enter your bloodstream and make their way to your brain, causing inflammation and disrupting normal brain function." Publicly posted content also appears to make the following representation, "Inspect your home regularly for signs of mold, especially in damp areas."</w:t>
      </w:r>
    </w:p>
    <w:p>
      <w:pPr>
        <w:pStyle w:val="Heading2"/>
      </w:pPr>
      <w:r>
        <w:rPr/>
        <w:t xml:space="preserve">B. Scope of Practice Concerns</w:t>
      </w:r>
    </w:p>
    <w:p>
      <w:pPr/>
      <w:r>
        <w:rPr/>
        <w:t xml:space="preserve">Public content appears to address cognitive decline, dementia, and Alzheimer's disease, anxiety and depression, autoimmune conditions, mold and Lyme related illness, healing from CIRS, CIRS+, and The CIRS Brain Solution, all of which the cited rule text suggests may fall outside the D.C. scope in Kansas. Public content also appears to address claims to manage autoimmune disease, an internal medical condition, claims to diagnose and treat Lyme and mold-related systemic illness, claims to heal from CIRS, a contested systemic illness model, and CIRS and mold-related illness healing protocols, which the cited rule text suggests may fall outside the D.C. scope in Kansas. Public content also appears to address depression, which the cited rule text suggests may fall outside the D.C. scope in Kansas.</w:t>
      </w:r>
    </w:p>
    <w:p>
      <w:pPr>
        <w:pStyle w:val="Heading2"/>
      </w:pPr>
      <w:r>
        <w:rPr/>
        <w:t xml:space="preserve">C. Consultation and Monetization Structure</w:t>
      </w:r>
    </w:p>
    <w:p>
      <w:pPr/>
      <w:r>
        <w:rPr/>
        <w:t xml:space="preserve">Public materials appear to describe the following consultation and monetization structure: Kickback/affiliate signals on 1 source(s).</w:t>
      </w:r>
    </w:p>
    <w:p>
      <w:pPr>
        <w:pStyle w:val="Heading2"/>
      </w:pPr>
      <w:r>
        <w:rPr/>
        <w:t xml:space="preserve">D. Complainant's Own Experience</w:t>
      </w:r>
    </w:p>
    <w:p>
      <w:pPr/>
      <w:r>
        <w:rPr/>
        <w:t xml:space="preserve">[DESCRIBE YOUR OWN EXPERIENCE, IF ANY]</w:t>
      </w:r>
    </w:p>
    <w:p>
      <w:pPr>
        <w:pStyle w:val="Heading1"/>
      </w:pPr>
      <w:r>
        <w:rPr/>
        <w:t xml:space="preserve">III. AREAS OF CONCERN</w:t>
      </w:r>
    </w:p>
    <w:p>
      <w:pPr>
        <w:pStyle w:val="Heading2"/>
      </w:pPr>
      <w:r>
        <w:rPr/>
        <w:t xml:space="preserve">COUNT I: PRACTICE BEYOND THE LICENSED SCOPE</w:t>
      </w:r>
    </w:p>
    <w:p>
      <w:pPr/>
      <w:r>
        <w:rPr/>
        <w:t xml:space="preserve">Cited authority: Kansas Healing Arts Act, K.S.A. 65-2801 et seq. and K.S.A. 65-2836(g).</w:t>
      </w:r>
    </w:p>
    <w:p>
      <w:pPr/>
      <w:r>
        <w:rPr/>
        <w:t xml:space="preserve">The public materials described in the Statement of Facts above appear to address ADHD, Cognitive decline, dementia, and Alzheimer's disease, Anxiety and depression, Autoimmune conditions, Mold and Lyme related illness, healing from CIRS, CIRS+, The CIRS Brain Solution, Claims to manage autoimmune disease, an internal medical condition, Claims to diagnose/treat Lyme and mold-related systemic illness, Claims to heal from CIRS, a contested systemic illness model, and CIRS and mold-related illness healing protocols. A chiropractic license in Kansas covers the spine, joints and muscles. It does not cover diagnosing or treating these conditions. In their own published words, the Respondent presents themselves as qualified to treat, or gives advice on, conditions that a published medical registry classes under its heading for infants and children. In the registry's own terms, that is ADHD.</w:t>
      </w:r>
    </w:p>
    <w:p>
      <w:pPr/>
      <w:r>
        <w:rPr/>
        <w:t xml:space="preserve">The conduct described above raises substantial concerns under Kansas Healing Arts Act, K.S.A. 65-2801 et seq. and K.S.A. 65-2836(g) and warrants Board investigation.</w:t>
      </w:r>
    </w:p>
    <w:p>
      <w:pPr>
        <w:pStyle w:val="Heading2"/>
      </w:pPr>
      <w:r>
        <w:rPr/>
        <w:t xml:space="preserve">COUNT II: CHRONIC-CONDITION FUNCTIONAL MEDICINE ADVERTISING AND REPRESENTATIONS</w:t>
      </w:r>
    </w:p>
    <w:p>
      <w:pPr/>
      <w:r>
        <w:rPr/>
        <w:t xml:space="preserve">Cited authority: K.S.A. 65-2837(b)(12), 65-2837(b)(13), and 65-2871.</w:t>
      </w:r>
    </w:p>
    <w:p>
      <w:pPr/>
      <w:r>
        <w:rPr/>
        <w:t xml:space="preserve">The public marketing representations and testimonials described above appear to present the practice's services without consistently identifying the limits of the D.C. scope or the practitioner's credentials.</w:t>
      </w:r>
    </w:p>
    <w:p>
      <w:pPr/>
      <w:r>
        <w:rPr/>
        <w:t xml:space="preserve">The conduct described above raises substantial concerns under K.S.A. 65-2837(b)(12), 65-2837(b)(13), and 65-2871 and warrants Board investigation.</w:t>
      </w:r>
    </w:p>
    <w:p>
      <w:pPr>
        <w:pStyle w:val="Heading2"/>
      </w:pPr>
      <w:r>
        <w:rPr/>
        <w:t xml:space="preserve">COUNT III: FUNCTIONAL LABORATORY TESTING AND HEALTH-PLANNING REPRESENTATIONS</w:t>
      </w:r>
    </w:p>
    <w:p>
      <w:pPr/>
      <w:r>
        <w:rPr/>
        <w:t xml:space="preserve">Cited authority: K.S.A. 65-2837(b)(1) and 65-2836(g).</w:t>
      </w:r>
    </w:p>
    <w:p>
      <w:pPr/>
      <w:r>
        <w:rPr/>
        <w:t xml:space="preserve">The public materials described above appear to present condition-specific frameworks, laboratory-testing guidance, and treatment protocols directed at systemic conditions, rather than services grounded in the licensed scope.</w:t>
      </w:r>
    </w:p>
    <w:p>
      <w:pPr/>
      <w:r>
        <w:rPr/>
        <w:t xml:space="preserve">The conduct described above raises substantial concerns under K.S.A. 65-2837(b)(1) and 65-2836(g) and warrants Board investigation.</w:t>
      </w:r>
    </w:p>
    <w:p>
      <w:pPr>
        <w:pStyle w:val="Heading2"/>
      </w:pPr>
      <w:r>
        <w:rPr/>
        <w:t xml:space="preserve">COUNT IV: SUPPLEMENT-INTEGRATED FUNCTIONAL MEDICINE AND COMMERCIAL PRACTICE STRUCTURE</w:t>
      </w:r>
    </w:p>
    <w:p>
      <w:pPr/>
      <w:r>
        <w:rPr/>
        <w:t xml:space="preserve">Cited authority: K.S.A. 65-2837 and 65-2871.</w:t>
      </w:r>
    </w:p>
    <w:p>
      <w:pPr/>
      <w:r>
        <w:rPr/>
        <w:t xml:space="preserve">The consultation and product-sales structure described above appears to tie the health-related representations to paid consultations, care plans, and product sales offered to the same audience.</w:t>
      </w:r>
    </w:p>
    <w:p>
      <w:pPr/>
      <w:r>
        <w:rPr/>
        <w:t xml:space="preserve">The conduct described above raises substantial concerns under K.S.A. 65-2837 and 65-2871 and warrants Board investigation.</w:t>
      </w:r>
    </w:p>
    <w:p>
      <w:pPr>
        <w:pStyle w:val="Heading2"/>
      </w:pPr>
      <w:r>
        <w:rPr/>
        <w:t xml:space="preserve">COUNT V: UNPROFESSIONAL CONDUCT</w:t>
      </w:r>
    </w:p>
    <w:p>
      <w:pPr/>
      <w:r>
        <w:rPr/>
        <w:t xml:space="preserve">Cited authority: K.S.A. 65-2836 and 65-2837.</w:t>
      </w:r>
    </w:p>
    <w:p>
      <w:pPr/>
      <w:r>
        <w:rPr/>
        <w:t xml:space="preserve">The public representations described above appear capable of conveying to consumers a level of clinical authority beyond the licensed scope.</w:t>
      </w:r>
    </w:p>
    <w:p>
      <w:pPr/>
      <w:r>
        <w:rPr/>
        <w:t xml:space="preserve">The conduct described above raises substantial concerns under K.S.A. 65-2836 and 65-2837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https://ksbha.kansas.gov/verifications/</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https://www.facebook.com/photo.php?fbid=1216039470204576&amp;set=a.533674328441097&amp;type=3</w:t>
            </w:r>
          </w:p>
        </w:tc>
        <w:tc>
          <w:tcPr>
            <w:tcW w:w="0" w:type="auto"/>
          </w:tcPr>
          <w:p>
            <w:pPr/>
            <w:r>
              <w:rPr/>
              <w:t xml:space="preserve">[attach a printed, dated capture]</w:t>
            </w:r>
          </w:p>
        </w:tc>
      </w:tr>
      <w:tr>
        <w:tc>
          <w:tcPr>
            <w:tcW w:w="0" w:type="auto"/>
          </w:tcPr>
          <w:p>
            <w:pPr/>
            <w:r>
              <w:rPr/>
              <w:t xml:space="preserve">Exhibit C</w:t>
            </w:r>
          </w:p>
        </w:tc>
        <w:tc>
          <w:tcPr>
            <w:tcW w:w="0" w:type="auto"/>
          </w:tcPr>
          <w:p>
            <w:pPr/>
            <w:r>
              <w:rPr/>
              <w:t xml:space="preserve">Additional public practice website</w:t>
            </w:r>
          </w:p>
        </w:tc>
        <w:tc>
          <w:tcPr>
            <w:tcW w:w="0" w:type="auto"/>
          </w:tcPr>
          <w:p>
            <w:pPr/>
            <w:r>
              <w:rPr/>
              <w:t xml:space="preserve">https://www.drjonahyakel.com</w:t>
            </w:r>
          </w:p>
        </w:tc>
        <w:tc>
          <w:tcPr>
            <w:tcW w:w="0" w:type="auto"/>
          </w:tcPr>
          <w:p>
            <w:pPr/>
            <w:r>
              <w:rPr/>
              <w:t xml:space="preserve">[attach a printed, dated capture]</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