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Kansas. It is not legal advice.</w:t>
      </w:r>
    </w:p>
    <w:p>
      <w:pPr>
        <w:jc w:val="center"/>
      </w:pPr>
      <w:r>
        <w:rPr>
          <w:b/>
        </w:rPr>
        <w:t xml:space="preserve">KANSAS STATE BOARD OF HEALING ARTS</w:t>
      </w:r>
    </w:p>
    <w:p>
      <w:pPr>
        <w:pStyle w:val="Heading1"/>
        <w:jc w:val="center"/>
      </w:pPr>
      <w:r>
        <w:rPr/>
        <w:t xml:space="preserve">FORMAL COMPLAINT REQUESTING INVESTIGATION AND REVIEW</w:t>
      </w:r>
    </w:p>
    <w:p>
      <w:pPr/>
      <w:r>
        <w:rPr>
          <w:b/>
        </w:rPr>
        <w:t xml:space="preserve">In the Matter of:</w:t>
      </w:r>
    </w:p>
    <w:p>
      <w:pPr/>
      <w:r>
        <w:rPr/>
        <w:t xml:space="preserve">Jonah Dallas Yakel</w:t>
      </w:r>
    </w:p>
    <w:p>
      <w:pPr/>
      <w:r>
        <w:rPr/>
        <w:t xml:space="preserve">License No. [LICENSE NUMBER, IF KNOWN]</w:t>
      </w:r>
    </w:p>
    <w:p>
      <w:pPr/>
      <w:r>
        <w:rPr/>
        <w:t xml:space="preserve">NPI (public registry): 1619145026</w:t>
      </w:r>
    </w:p>
    <w:p>
      <w:pPr>
        <w:pStyle w:val="Heading1"/>
      </w:pPr>
      <w:r>
        <w:rPr/>
        <w:t xml:space="preserve">I. INTRODUCTION</w:t>
      </w:r>
    </w:p>
    <w:p>
      <w:pPr/>
      <w:r>
        <w:rPr/>
        <w:t xml:space="preserve">Complainant respectfully submits this complaint to the Kansas State Board of Healing Arts requesting formal investigation and regulatory review concerning Jonah Dallas Yakel (the Respondent), identified in the attached public materials.</w:t>
      </w:r>
    </w:p>
    <w:p>
      <w:pPr/>
      <w:r>
        <w:rPr/>
        <w:t xml:space="preserve">The public materials reviewed appear to present representations concerning the identification and management of health conditions, including ADHD, Cognitive decline, dementia, and Alzheimer's disease, Anxiety and depression, Autoimmune conditions, Mold and Lyme related illness, and healing from CIRS. A chiropractic license in Kansas covers the spine, joints and muscles. It does not cover diagnosing or treating these conditions. In their own published words, the Respondent presents themselves as qualified to treat, or gives advice on, children's conditions: ADHD. The public list this review uses, drtrustmebro.com/conditions, groups them under infants and children and names the pediatric clinician who treats each one.</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https://www.drjonahyakel.com/, https://www.facebook.com/photo.php?fbid=1216039470204576&amp;set=a.533674328441097&amp;type=3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Publicly available content appears to address cognitive decline, dementia, and Alzheimer's disease, which the cited rule text suggests may fall outside the D.C. scope in Kansas. Public content also appears to address anxiety and depression, autoimmune conditions, mold and Lyme related illness, healing from CIRS, CIRS+, and The CIRS Brain Solution, together with claims to manage autoimmune disease, an internal medical condition, claims to diagnose and treat Lyme and mold-related systemic illness, claims to heal from CIRS, a contested systemic illness model, and CIRS and mold-related illness healing protocols, each of which the cited rule text suggests may fall outside the D.C. scope in Kansas.</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Kansas Healing Arts Act, K.S.A. 65-2801 et seq. and K.S.A. 65-2836(g).</w:t>
      </w:r>
    </w:p>
    <w:p>
      <w:pPr/>
      <w:r>
        <w:rPr/>
        <w:t xml:space="preserve">The public materials described in the Statement of Facts above appear to address ADHD, Cognitive decline, dementia, and Alzheimer's disease, Anxiety and depression, Autoimmune conditions, Mold and Lyme related illness, healing from CIRS, CIRS+, The CIRS Brain Solution, Claims to manage autoimmune disease, an internal medical condition, Claims to diagnose/treat Lyme and mold-related systemic illness, Claims to heal from CIRS, a contested systemic illness model, and CIRS and mold-related illness healing protocols. A chiropractic license in Kansas covers the spine, joints and muscles. It does not cover diagnosing or treating these conditions. In their own published words, the Respondent presents themselves as qualified to treat, or gives advice on, children's conditions: ADHD. The public list this review uses, drtrustmebro.com/conditions, groups them under infants and children and names the pediatric clinician who treats each one.</w:t>
      </w:r>
    </w:p>
    <w:p>
      <w:pPr/>
      <w:r>
        <w:rPr/>
        <w:t xml:space="preserve">The conduct described above raises substantial concerns under Kansas Healing Arts Act, K.S.A. 65-2801 et seq. and K.S.A. 65-2836(g) and warrants Board investigation.</w:t>
      </w:r>
    </w:p>
    <w:p>
      <w:pPr>
        <w:pStyle w:val="Heading2"/>
      </w:pPr>
      <w:r>
        <w:rPr/>
        <w:t xml:space="preserve">COUNT II: CHRONIC-CONDITION FUNCTIONAL MEDICINE ADVERTISING AND REPRESENTATIONS</w:t>
      </w:r>
    </w:p>
    <w:p>
      <w:pPr/>
      <w:r>
        <w:rPr/>
        <w:t xml:space="preserve">Cited authority: K.S.A. 65-2837(b)(12), 65-2837(b)(13), and 65-2871.</w:t>
      </w:r>
    </w:p>
    <w:p>
      <w:pPr/>
      <w:r>
        <w:rPr/>
        <w:t xml:space="preserve">The conduct described above raises substantial concerns under K.S.A. 65-2837(b)(12), 65-2837(b)(13), and 65-2871 and warrants Board investigation.</w:t>
      </w:r>
    </w:p>
    <w:p>
      <w:pPr>
        <w:pStyle w:val="Heading2"/>
      </w:pPr>
      <w:r>
        <w:rPr/>
        <w:t xml:space="preserve">COUNT III: FUNCTIONAL LABORATORY TESTING AND HEALTH-PLANNING REPRESENTATIONS</w:t>
      </w:r>
    </w:p>
    <w:p>
      <w:pPr/>
      <w:r>
        <w:rPr/>
        <w:t xml:space="preserve">Cited authority: K.S.A. 65-2837(b)(1) and 65-2836(g).</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K.S.A. 65-2837(b)(1) and 65-2836(g) and warrants Board investigation.</w:t>
      </w:r>
    </w:p>
    <w:p>
      <w:pPr>
        <w:pStyle w:val="Heading2"/>
      </w:pPr>
      <w:r>
        <w:rPr/>
        <w:t xml:space="preserve">COUNT IV: SUPPLEMENT-INTEGRATED FUNCTIONAL MEDICINE AND COMMERCIAL PRACTICE STRUCTURE</w:t>
      </w:r>
    </w:p>
    <w:p>
      <w:pPr/>
      <w:r>
        <w:rPr/>
        <w:t xml:space="preserve">Cited authority: K.S.A. 65-2837 and 65-2871.</w:t>
      </w:r>
    </w:p>
    <w:p>
      <w:pPr/>
      <w:r>
        <w:rPr/>
        <w:t xml:space="preserve">The conduct described above raises substantial concerns under K.S.A. 65-2837 and 65-2871 and warrants Board investigation.</w:t>
      </w:r>
    </w:p>
    <w:p>
      <w:pPr>
        <w:pStyle w:val="Heading2"/>
      </w:pPr>
      <w:r>
        <w:rPr/>
        <w:t xml:space="preserve">COUNT V: UNPROFESSIONAL CONDUCT</w:t>
      </w:r>
    </w:p>
    <w:p>
      <w:pPr/>
      <w:r>
        <w:rPr/>
        <w:t xml:space="preserve">Cited authority: K.S.A. 65-2836 and 65-2837.</w:t>
      </w:r>
    </w:p>
    <w:p>
      <w:pPr/>
      <w:r>
        <w:rPr/>
        <w:t xml:space="preserve">The conduct described above raises substantial concerns under K.S.A. 65-2836 and 65-2837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https://ksbha.kansas.gov/verifications/</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https://www.drjonahyakel.com/</w:t>
            </w:r>
          </w:p>
        </w:tc>
        <w:tc>
          <w:tcPr>
            <w:tcW w:w="0" w:type="auto"/>
          </w:tcPr>
          <w:p>
            <w:pPr/>
            <w:r>
              <w:rPr/>
              <w:t xml:space="preserve">https://web.archive.org/web/20260308095952/https://drjonahyakel.com/ (captured 2026030809)</w:t>
            </w:r>
          </w:p>
        </w:tc>
      </w:tr>
      <w:tr>
        <w:tc>
          <w:tcPr>
            <w:tcW w:w="0" w:type="auto"/>
          </w:tcPr>
          <w:p>
            <w:pPr/>
            <w:r>
              <w:rPr/>
              <w:t xml:space="preserve">Exhibit C</w:t>
            </w:r>
          </w:p>
        </w:tc>
        <w:tc>
          <w:tcPr>
            <w:tcW w:w="0" w:type="auto"/>
          </w:tcPr>
          <w:p>
            <w:pPr/>
            <w:r>
              <w:rPr/>
              <w:t xml:space="preserve">Additional public channel or post</w:t>
            </w:r>
          </w:p>
        </w:tc>
        <w:tc>
          <w:tcPr>
            <w:tcW w:w="0" w:type="auto"/>
          </w:tcPr>
          <w:p>
            <w:pPr/>
            <w:r>
              <w:rPr/>
              <w:t xml:space="preserve">https://www.facebook.com/photo.php?fbid=1216039470204576&amp;set=a.533674328441097&amp;type=3</w:t>
            </w:r>
          </w:p>
        </w:tc>
        <w:tc>
          <w:tcPr>
            <w:tcW w:w="0" w:type="auto"/>
          </w:tcPr>
          <w:p>
            <w:pPr/>
            <w:r>
              <w:rPr/>
              <w:t xml:space="preserve">[attach a printed, dated capture]</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