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Minnesota. It is not legal advice.</w:t>
      </w:r>
    </w:p>
    <w:p>
      <w:pPr>
        <w:jc w:val="center"/>
      </w:pPr>
      <w:r>
        <w:rPr>
          <w:b/>
        </w:rPr>
        <w:t xml:space="preserve">MINNESOTA BOARD OF CHIROPRACTIC EXAMINERS</w:t>
      </w:r>
    </w:p>
    <w:p>
      <w:pPr>
        <w:pStyle w:val="Heading1"/>
        <w:jc w:val="center"/>
      </w:pPr>
      <w:r>
        <w:rPr/>
        <w:t xml:space="preserve">FORMAL COMPLAINT REQUESTING INVESTIGATION AND REVIEW</w:t>
      </w:r>
    </w:p>
    <w:p>
      <w:pPr/>
      <w:r>
        <w:rPr>
          <w:b/>
        </w:rPr>
        <w:t xml:space="preserve">In the Matter of:</w:t>
      </w:r>
    </w:p>
    <w:p>
      <w:pPr/>
      <w:r>
        <w:rPr/>
        <w:t xml:space="preserve">Anna Payne</w:t>
      </w:r>
    </w:p>
    <w:p>
      <w:pPr/>
      <w:r>
        <w:rPr/>
        <w:t xml:space="preserve">License No. [LICENSE NUMBER, IF KNOWN]</w:t>
      </w:r>
    </w:p>
    <w:p>
      <w:pPr/>
      <w:r>
        <w:rPr/>
        <w:t xml:space="preserve">231 Main Street NW, Elk River, Minnesota, 55330</w:t>
      </w:r>
    </w:p>
    <w:p>
      <w:pPr/>
      <w:r>
        <w:rPr/>
        <w:t xml:space="preserve">NPI (public registry): 1174456073</w:t>
      </w:r>
    </w:p>
    <w:p>
      <w:pPr>
        <w:pStyle w:val="Heading1"/>
      </w:pPr>
      <w:r>
        <w:rPr/>
        <w:t xml:space="preserve">I. INTRODUCTION</w:t>
      </w:r>
    </w:p>
    <w:p>
      <w:pPr/>
      <w:r>
        <w:rPr/>
        <w:t xml:space="preserve">Complainant respectfully submits this complaint to the MINNESOTA BOARD OF CHIROPRACTIC EXAMINERS requesting formal investigation and regulatory review concerning Anna Payne (the Respondent), identified in the attached public materials.</w:t>
      </w:r>
    </w:p>
    <w:p>
      <w:pPr/>
      <w:r>
        <w:rPr/>
        <w:t xml:space="preserve">The public materials reviewed appear to present representations concerning the identification and management of health conditions, including Autoimmunity (Hashimoto's, psoriasis, lupus), Hormone optimization (Testosterone, Estrogen, Progesterone), Thyroid dysfunction (Hypothyroid, Hashimoto's), Digestive disease (IBS, Leaky Gut, SIBO), Weight management (Insulin resistance, Dysglycemia), and Mood disorders (Insomnia, Anxiety, Depression), that may extend beyond the DC scope in Minnesota.</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https://momentumhealthwellnessmn.com/, https://us.fullscript.com/welcome/dranderson, https://labs.rupahealth.com/store/storefront_54lm3EG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Autoimmunity, including Hashimoto's, psoriasis, lupus, and autoimmune disease management, which the applicable licensing rules suggest may fall outside the DC scope in Minnesota. Public content also appears to address Hormone optimization and Hormone Balance, specifically Functional Hormone Optimization involving Testosterone, Estrogen, and Progesterone, which the applicable licensing rules suggest may fall outside the DC scope in Minnesota. Furthermore, public content appears to address Thyroid dysfunction, Thyroid Support, and Autoimmune Disease Management related to Hashimoto's and Lupus, which the applicable licensing rules suggest may fall outside the DC scope in Minnesota. Public content additionally appears to address Digestive disease, including IBS, Leaky Gut, and SIBO, which the applicable licensing rules suggest may fall outside the DC scope in Minnesota. Public content also appears to address Weight management, Mood disorders, and Functional ranges that reveal hidden patterns such as inflammation, dysglycemia, and thyroid dysfunction, which the applicable licensing rules suggest may fall outside the DC scope in Minnesota.</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SCOPE OF CHIROPRACTIC</w:t>
      </w:r>
    </w:p>
    <w:p>
      <w:pPr/>
      <w:r>
        <w:rPr/>
        <w:t xml:space="preserve">Cited authority: Minn. Stat. Sections 148.01 to 148.108.</w:t>
      </w:r>
    </w:p>
    <w:p>
      <w:pPr/>
      <w:r>
        <w:rPr/>
        <w:t xml:space="preserve">The public materials described in the Statement of Facts above appear to address Autoimmunity (Hashimoto's, psoriasis, lupus), Hormone optimization (Testosterone, Estrogen, Progesterone), Thyroid dysfunction (Hypothyroid, Hashimoto's), Digestive disease (IBS, Leaky Gut, SIBO), Weight management (Insulin resistance, Dysglycemia), Mood disorders (Insomnia, Anxiety, Depression), Functional ranges reveal hidden patterns (inflammation, dysglycemia, thyroid dysfunction), Thyroid Support, Hormone Balance, Autoimmunity, Functional Hormone Optimization (Testosterone, Estrogen, Progesterone), and Autoimmune Disease Management (Hashimoto's, Lupus), which the cited rule text suggests may fall outside the DC scope.</w:t>
      </w:r>
    </w:p>
    <w:p>
      <w:pPr/>
      <w:r>
        <w:rPr/>
        <w:t xml:space="preserve">The conduct described above raises substantial concerns under Minn. Stat. Sections 148.01 to 148.108 and warrants Board investigation.</w:t>
      </w:r>
    </w:p>
    <w:p>
      <w:pPr>
        <w:pStyle w:val="Heading2"/>
      </w:pPr>
      <w:r>
        <w:rPr/>
        <w:t xml:space="preserve">COUNT II: DIAGNOSTIC TESTING AND MEDICAL-STYLE EVALUATION</w:t>
      </w:r>
    </w:p>
    <w:p>
      <w:pPr/>
      <w:r>
        <w:rPr/>
        <w:t xml:space="preserve">Cited authority: Minn. Stat. Section 148.01.</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Minn. Stat. Section 148.01 and warrants Board investigation.</w:t>
      </w:r>
    </w:p>
    <w:p>
      <w:pPr>
        <w:pStyle w:val="Heading2"/>
      </w:pPr>
      <w:r>
        <w:rPr/>
        <w:t xml:space="preserve">COUNT III: GROUNDS FOR DISCIPLINARY ACTION</w:t>
      </w:r>
    </w:p>
    <w:p>
      <w:pPr/>
      <w:r>
        <w:rPr/>
        <w:t xml:space="preserve">Cited authority: Minn. Stat. Section 148.10.</w:t>
      </w:r>
    </w:p>
    <w:p>
      <w:pPr/>
      <w:r>
        <w:rPr/>
        <w:t xml:space="preserve">The conduct described above raises substantial concerns under Minn. Stat. Section 148.10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https://mn.gov/boards/chiropractic-examiners/licenseelookup/</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https://momentumhealthwellnessmn.com/</w:t>
            </w:r>
          </w:p>
        </w:tc>
        <w:tc>
          <w:tcPr>
            <w:tcW w:w="0" w:type="auto"/>
          </w:tcPr>
          <w:p>
            <w:pPr/>
            <w:r>
              <w:rPr/>
              <w:t xml:space="preserve">https://web.archive.org/web/20260713023909/https://momentumhealthwellnessmn.com/ (captured 2026071302)</w:t>
            </w:r>
          </w:p>
        </w:tc>
      </w:tr>
      <w:tr>
        <w:tc>
          <w:tcPr>
            <w:tcW w:w="0" w:type="auto"/>
          </w:tcPr>
          <w:p>
            <w:pPr/>
            <w:r>
              <w:rPr/>
              <w:t xml:space="preserve">Exhibit C</w:t>
            </w:r>
          </w:p>
        </w:tc>
        <w:tc>
          <w:tcPr>
            <w:tcW w:w="0" w:type="auto"/>
          </w:tcPr>
          <w:p>
            <w:pPr/>
            <w:r>
              <w:rPr/>
              <w:t xml:space="preserve">Storefront or vendor link (Fullscript)</w:t>
            </w:r>
          </w:p>
        </w:tc>
        <w:tc>
          <w:tcPr>
            <w:tcW w:w="0" w:type="auto"/>
          </w:tcPr>
          <w:p>
            <w:pPr/>
            <w:r>
              <w:rPr/>
              <w:t xml:space="preserve">https://us.fullscript.com/welcome/dranderson</w:t>
            </w:r>
          </w:p>
        </w:tc>
        <w:tc>
          <w:tcPr>
            <w:tcW w:w="0" w:type="auto"/>
          </w:tcPr>
          <w:p>
            <w:pPr/>
            <w:r>
              <w:rPr/>
              <w:t xml:space="preserve">https://web.archive.org/web/20260713124613/https://us.fullscript.com/welcome/dranderson (captured 2026071312)</w:t>
            </w:r>
          </w:p>
        </w:tc>
      </w:tr>
      <w:tr>
        <w:tc>
          <w:tcPr>
            <w:tcW w:w="0" w:type="auto"/>
          </w:tcPr>
          <w:p>
            <w:pPr/>
            <w:r>
              <w:rPr/>
              <w:t xml:space="preserve">Exhibit D</w:t>
            </w:r>
          </w:p>
        </w:tc>
        <w:tc>
          <w:tcPr>
            <w:tcW w:w="0" w:type="auto"/>
          </w:tcPr>
          <w:p>
            <w:pPr/>
            <w:r>
              <w:rPr/>
              <w:t xml:space="preserve">Storefront or vendor link (Rupa Health)</w:t>
            </w:r>
          </w:p>
        </w:tc>
        <w:tc>
          <w:tcPr>
            <w:tcW w:w="0" w:type="auto"/>
          </w:tcPr>
          <w:p>
            <w:pPr/>
            <w:r>
              <w:rPr/>
              <w:t xml:space="preserve">https://labs.rupahealth.com/store/storefront_54lm3EG</w:t>
            </w:r>
          </w:p>
        </w:tc>
        <w:tc>
          <w:tcPr>
            <w:tcW w:w="0" w:type="auto"/>
          </w:tcPr>
          <w:p>
            <w:pPr/>
            <w:r>
              <w:rPr/>
              <w:t xml:space="preserve">https://web.archive.org/web/20260713005507/https://labs.rupahealth.com/store/storefront_54lm3EG (captured 2026071300)</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