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Kirk Johnson</w:t>
      </w:r>
    </w:p>
    <w:p>
      <w:pPr/>
      <w:r>
        <w:rPr/>
        <w:t xml:space="preserve">License No. [LICENSE NUMBER, IF KNOWN]</w:t>
      </w:r>
    </w:p>
    <w:p>
      <w:pPr/>
      <w:r>
        <w:rPr/>
        <w:t xml:space="preserve">825-2511 16104, Foster Street Overland Park, Kansas, 66085</w:t>
      </w:r>
    </w:p>
    <w:p>
      <w:pPr/>
      <w:r>
        <w:rPr/>
        <w:t xml:space="preserve">NPI (public registry): 1316969751</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Kirk Johnson (the Respondent), identified in the attached public materials.</w:t>
      </w:r>
    </w:p>
    <w:p>
      <w:pPr/>
      <w:r>
        <w:rPr/>
        <w:t xml:space="preserve">The public materials reviewed appear to present representations concerning the identification and management of health conditions, including TRT (Testosterone Replacement Therapy), Functional Healthcare, TRT, Softwave, and Softwave Shockwave Therapy for Urology/Aesthetics, that may extend beyond the D.C. scope in Kansas.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https://www.drkirkjohnson.com/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Chiropractor (DC), and the public registry record lists D.C.</w:t>
      </w:r>
    </w:p>
    <w:p>
      <w:pPr>
        <w:pStyle w:val="Heading2"/>
      </w:pPr>
      <w:r>
        <w:rPr/>
        <w:t xml:space="preserve">B. Public Marketing Representations</w:t>
      </w:r>
    </w:p>
    <w:p>
      <w:pPr/>
      <w:r>
        <w:rPr/>
        <w:t xml:space="preserve">Publicly posted content appears to make the following representation: "Functional Healthcare". Publicly posted content appears to make the following representation: "TRT". Publicly posted content appears to make the following representation: "Softwave".</w:t>
      </w:r>
    </w:p>
    <w:p>
      <w:pPr>
        <w:pStyle w:val="Heading2"/>
      </w:pPr>
      <w:r>
        <w:rPr/>
        <w:t xml:space="preserve">C. Scope of Practice Concerns</w:t>
      </w:r>
    </w:p>
    <w:p>
      <w:pPr/>
      <w:r>
        <w:rPr/>
        <w:t xml:space="preserve">Public content appears to address TRT (Testosterone Replacement Therapy), which the cited rule text suggests may fall outside the D.C. scope in Kansas. Public content appears to address Functional Healthcare, which the cited rule text suggests may fall outside the D.C. scope in Kansas. Public content appears to address TRT, which the cited rule text suggests may fall outside the D.C. scope in Kansas. Public content appears to address Softwave, which the cited rule text suggests may fall outside the D.C. scope in Kansas. Public content appears to address Softwave Shockwave Therapy for Urology/Aesthetics, which the cited rule text suggests may fall outside the D.C. scope in Kansas.</w:t>
      </w:r>
    </w:p>
    <w:p>
      <w:pPr>
        <w:pStyle w:val="Heading2"/>
      </w:pPr>
      <w:r>
        <w:rPr/>
        <w:t xml:space="preserve">D. Consultation and Monetization Structure</w:t>
      </w:r>
    </w:p>
    <w:p>
      <w:pPr/>
      <w:r>
        <w:rPr/>
        <w:t xml:space="preserve">Public materials appear to describe the following consultation and monetization structure: Open Payments (Sunshine Act) records industry payments totaling about $715.</w:t>
      </w:r>
    </w:p>
    <w:p>
      <w:pPr>
        <w:pStyle w:val="Heading2"/>
      </w:pPr>
      <w:r>
        <w:rPr/>
        <w:t xml:space="preserve">E.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TRT (Testosterone Replacement Therapy), Functional Healthcare, TRT, Softwave, and Softwave Shockwave Therapy for Urology/Aesthetics,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https://www.drkirkjohnson.com/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