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Richard L. Mayfield</w:t>
      </w:r>
    </w:p>
    <w:p>
      <w:pPr/>
      <w:r>
        <w:rPr/>
        <w:t xml:space="preserve">License No. [LICENSE NUMBER, IF KNOWN]</w:t>
      </w:r>
    </w:p>
    <w:p>
      <w:pPr/>
      <w:r>
        <w:rPr/>
        <w:t xml:space="preserve">160, Edina, Minnesota, 55435</w:t>
      </w:r>
    </w:p>
    <w:p>
      <w:pPr/>
      <w:r>
        <w:rPr/>
        <w:t xml:space="preserve">NPI (public registry): 1174560973</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Richard L. Mayfield (the Respondent), identified in the attached public materials.</w:t>
      </w:r>
    </w:p>
    <w:p>
      <w:pPr/>
      <w:r>
        <w:rPr/>
        <w:t xml:space="preserve">The public materials reviewed appear to present representations concerning the identification and management of health conditions, including Autism Spectrum Disorder, depression, high blood pressure, inflammatory bowel diseases, Diagnosing and treating hypertension as a functional-health issue, and functional medicine services, that may extend beyond the D.C. scope in Minnesota. In their own published words, the Respondent presents themselves as qualified to treat, or gives advice on, children's conditions: autism.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https://www.centerforwellbeingpc.com/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Richard L. Mayfield, D.C., appears to address Autism Spectrum Disorder, depression, high blood pressure, hypertension as a functional-health issue, and inflammatory bowel diseases, including Crohn disease and colitis. The provided public-record review describes a Minnesota chiropractic license as covering the spine, joints, and muscles, and not diagnosing or treating autism, depression, heart disease, Crohn disease, or colitis. Public content also appears to address functional medicine, nutritional and functional medicine services, and the statements “Muscle testing provides immediate assessment clues to solve the acute or recurrent pain,” “Functional health... solve chronic health care issues,” “improve the lives of hundreds of children and adults with chronic health disorders,” “identify and treat the root causes of disease,” and “symptom reduction or reversal.” The review characterizes these services and statements as potentially outside the D.C. scope in Minnesota under the applicable licensing rules, and identifies muscle testing and symptom reduction or reversal as gray areas.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Autism Spectrum Disorder, depression, high blood pressure, inflammatory bowel diseases, Diagnosing and treating hypertension as a functional-health issue, functional medicine services, nutritional and functional medicine services, Muscle testing provides immediate assessment clues to solve the acute or recurrent pain, Functional health... solve chronic health care issues, improve the lives of hundreds of children and adults with chronic health disorders, identify and treat the root causes of disease, and symptom reduction or reversal, which the cited rule text suggests may fall outside the D.C. scope. In their own published words, the Respondent presents themselves as qualified to treat, or gives advice on, children's conditions: autism. The public list this review uses, drtrustmebro.com/conditions, groups them under infants and children and names the pediatric clinician who treats each one.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https://www.centerforwellbeingpc.com/</w:t>
            </w:r>
          </w:p>
        </w:tc>
        <w:tc>
          <w:tcPr>
            <w:tcW w:w="0" w:type="auto"/>
          </w:tcPr>
          <w:p>
            <w:pPr/>
            <w:r>
              <w:rPr/>
              <w:t xml:space="preserve">https://web.archive.org/web/20251125180055/http://www.centerforwellbeingpc.com/ (captured 2025112518)</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