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Minnesota. It is not legal advice.</w:t>
      </w:r>
    </w:p>
    <w:p>
      <w:pPr>
        <w:jc w:val="center"/>
      </w:pPr>
      <w:r>
        <w:rPr>
          <w:b/>
        </w:rPr>
        <w:t xml:space="preserve">MINNESOTA BOARD OF CHIROPRACTIC EXAMINERS</w:t>
      </w:r>
    </w:p>
    <w:p>
      <w:pPr>
        <w:pStyle w:val="Heading1"/>
        <w:jc w:val="center"/>
      </w:pPr>
      <w:r>
        <w:rPr/>
        <w:t xml:space="preserve">FORMAL COMPLAINT REQUESTING INVESTIGATION AND REVIEW</w:t>
      </w:r>
    </w:p>
    <w:p>
      <w:pPr/>
      <w:r>
        <w:rPr>
          <w:b/>
        </w:rPr>
        <w:t xml:space="preserve">In the Matter of:</w:t>
      </w:r>
    </w:p>
    <w:p>
      <w:pPr/>
      <w:r>
        <w:rPr/>
        <w:t xml:space="preserve">Richard Mayfield</w:t>
      </w:r>
    </w:p>
    <w:p>
      <w:pPr/>
      <w:r>
        <w:rPr/>
        <w:t xml:space="preserve">License No. [LICENSE NUMBER, IF KNOWN]</w:t>
      </w:r>
    </w:p>
    <w:p>
      <w:pPr/>
      <w:r>
        <w:rPr/>
        <w:t xml:space="preserve">160, Edina, Minnesota, 55435</w:t>
      </w:r>
    </w:p>
    <w:p>
      <w:pPr/>
      <w:r>
        <w:rPr/>
        <w:t xml:space="preserve">NPI (public registry): 1174560973</w:t>
      </w:r>
    </w:p>
    <w:p>
      <w:pPr>
        <w:pStyle w:val="Heading1"/>
      </w:pPr>
      <w:r>
        <w:rPr/>
        <w:t xml:space="preserve">I. INTRODUCTION</w:t>
      </w:r>
    </w:p>
    <w:p>
      <w:pPr/>
      <w:r>
        <w:rPr/>
        <w:t xml:space="preserve">Complainant respectfully submits this complaint to the MINNESOTA BOARD OF CHIROPRACTIC EXAMINERS requesting formal investigation and regulatory review concerning Richard Mayfield (the Respondent), identified in the attached public materials.</w:t>
      </w:r>
    </w:p>
    <w:p>
      <w:pPr/>
      <w:r>
        <w:rPr/>
        <w:t xml:space="preserve">The public materials reviewed appear to present representations concerning the identification and management of health conditions, including Autism Spectrum Disorder, depression, high blood pressure, inflammatory bowel diseases, Diagnosing and treating hypertension as a functional-health issue, and functional medicine services, that may extend beyond the D.C. scope in Minnesota. The condition registry used in this review classes autism under its heading for infants and children.</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https://www.centerforwellbeingpc.com/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depression, high blood pressure, inflammatory bowel diseases, and Autism Spectrum Disorder, all of which the cited rule text suggests may fall outside the D.C. scope in Minnesota. Public content also appears to address diagnosing and treating hypertension as a functional-health issue, functional medicine services, nutritional and functional medicine services, and laboratory test referrals, each of which the cited rule text suggests may fall outside the D.C. scope in Minnesota. In addition, public content appears to state that "Muscle testing provides immediate assessment clues to solve the acute or recurrent pain," that "Functional health... solve chronic health care issues," that such services may "improve the lives of hundreds of children and adults with chronic health disorders," and that they aim to "identify and treat the root causes of disease," all of which the cited rule text suggests may fall outside the D.C. scope in Minnesota.</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SCOPE OF CHIROPRACTIC</w:t>
      </w:r>
    </w:p>
    <w:p>
      <w:pPr/>
      <w:r>
        <w:rPr/>
        <w:t xml:space="preserve">Cited authority: Minn. Stat. Sections 148.01 to 148.108.</w:t>
      </w:r>
    </w:p>
    <w:p>
      <w:pPr/>
      <w:r>
        <w:rPr/>
        <w:t xml:space="preserve">The public materials described in the Statement of Facts above appear to address Autism Spectrum Disorder, depression, high blood pressure, inflammatory bowel diseases, Diagnosing and treating hypertension as a functional-health issue, functional medicine services, nutritional and functional medicine services, laboratory test referrals, Muscle testing provides immediate assessment clues to solve the acute or recurrent pain, Functional health... solve chronic health care issues, improve the lives of hundreds of children and adults with chronic health disorders, and identify and treat the root causes of disease, which the cited rule text suggests may fall outside the D.C. scope. The condition registry used in this review classes autism under its heading for infants and children.</w:t>
      </w:r>
    </w:p>
    <w:p>
      <w:pPr/>
      <w:r>
        <w:rPr/>
        <w:t xml:space="preserve">The conduct described above raises substantial concerns under Minn. Stat. Sections 148.01 to 148.108 and warrants Board investigation.</w:t>
      </w:r>
    </w:p>
    <w:p>
      <w:pPr>
        <w:pStyle w:val="Heading2"/>
      </w:pPr>
      <w:r>
        <w:rPr/>
        <w:t xml:space="preserve">COUNT II: DIAGNOSTIC TESTING AND MEDICAL-STYLE EVALUATION</w:t>
      </w:r>
    </w:p>
    <w:p>
      <w:pPr/>
      <w:r>
        <w:rPr/>
        <w:t xml:space="preserve">Cited authority: Minn. Stat. Section 148.01.</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Minn. Stat. Section 148.01 and warrants Board investigation.</w:t>
      </w:r>
    </w:p>
    <w:p>
      <w:pPr>
        <w:pStyle w:val="Heading2"/>
      </w:pPr>
      <w:r>
        <w:rPr/>
        <w:t xml:space="preserve">COUNT III: GROUNDS FOR DISCIPLINARY ACTION</w:t>
      </w:r>
    </w:p>
    <w:p>
      <w:pPr/>
      <w:r>
        <w:rPr/>
        <w:t xml:space="preserve">Cited authority: Minn. Stat. Section 148.10.</w:t>
      </w:r>
    </w:p>
    <w:p>
      <w:pPr/>
      <w:r>
        <w:rPr/>
        <w:t xml:space="preserve">The conduct described above raises substantial concerns under Minn. Stat. Section 148.10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https://mn.gov/boards/chiropractic-examiners/licenseelookup/</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https://www.centerforwellbeingpc.com/</w:t>
            </w:r>
          </w:p>
        </w:tc>
        <w:tc>
          <w:tcPr>
            <w:tcW w:w="0" w:type="auto"/>
          </w:tcPr>
          <w:p>
            <w:pPr/>
            <w:r>
              <w:rPr/>
              <w:t xml:space="preserve">[attach a printed, dated capture]</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