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Virginia. It is not legal advice.</w:t>
      </w:r>
    </w:p>
    <w:p>
      <w:pPr>
        <w:jc w:val="center"/>
      </w:pPr>
      <w:r>
        <w:rPr>
          <w:b/>
        </w:rPr>
        <w:t xml:space="preserve">VIRGINIA DEPARTMENT OF HEALTH PROFESSIONS</w:t>
      </w:r>
    </w:p>
    <w:p>
      <w:pPr>
        <w:jc w:val="center"/>
      </w:pPr>
      <w:r>
        <w:rPr>
          <w:b/>
        </w:rPr>
        <w:t xml:space="preserve">ENFORCEMENT DIVISION</w:t>
      </w:r>
    </w:p>
    <w:p>
      <w:pPr>
        <w:jc w:val="center"/>
      </w:pPr>
      <w:r>
        <w:rPr>
          <w:b/>
        </w:rPr>
        <w:t xml:space="preserve">9960 Mayland Drive, Suite 300, Henrico, Virginia 23233</w:t>
      </w:r>
    </w:p>
    <w:p>
      <w:pPr>
        <w:pStyle w:val="Heading1"/>
        <w:jc w:val="center"/>
      </w:pPr>
      <w:r>
        <w:rPr/>
        <w:t xml:space="preserve">FORMAL COMPLAINT REQUESTING INVESTIGATION AND REVIEW</w:t>
      </w:r>
    </w:p>
    <w:p>
      <w:pPr/>
      <w:r>
        <w:rPr>
          <w:b/>
        </w:rPr>
        <w:t xml:space="preserve">In the Matter of:</w:t>
      </w:r>
    </w:p>
    <w:p>
      <w:pPr/>
      <w:r>
        <w:rPr/>
        <w:t xml:space="preserve">Ilana Goldberg</w:t>
      </w:r>
    </w:p>
    <w:p>
      <w:pPr/>
      <w:r>
        <w:rPr/>
        <w:t xml:space="preserve">License No. [LICENSE NUMBER, IF KNOWN]</w:t>
      </w:r>
    </w:p>
    <w:p>
      <w:pPr/>
      <w:r>
        <w:rPr/>
        <w:t xml:space="preserve">100 Falls, Church, Virginia, 22046</w:t>
      </w:r>
    </w:p>
    <w:p>
      <w:pPr/>
      <w:r>
        <w:rPr/>
        <w:t xml:space="preserve">NPI (public registry): 1023023736</w:t>
      </w:r>
    </w:p>
    <w:p>
      <w:pPr>
        <w:pStyle w:val="Heading1"/>
      </w:pPr>
      <w:r>
        <w:rPr/>
        <w:t xml:space="preserve">I. INTRODUCTION</w:t>
      </w:r>
    </w:p>
    <w:p>
      <w:pPr/>
      <w:r>
        <w:rPr/>
        <w:t xml:space="preserve">Complainant respectfully submits this complaint to the VIRGINIA BOARD OF MEDICINE: DEPARTMENT OF HEALTH PROFESSIONALS requesting formal investigation and regulatory review concerning Ilana Goldberg (the Respondent), identified in the attached public materials.</w:t>
      </w:r>
    </w:p>
    <w:p>
      <w:pPr/>
      <w:r>
        <w:rPr/>
        <w:t xml:space="preserve">The public materials reviewed appear to present representations concerning the identification and management of health conditions, including autoimmune disease, hormone imbalance, A Holistic Approach To HASHIMOTO’S AUTOIMMUNE THYROIDITIS, Functional Medicine for Autoimmune Disease, digestive disorders, and chronic inflammation, that may extend beyond the D.C. scope in Virginia.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https://holistichealthprovider.com/, https://us.fullscript.com/welcome/igoldberg, https://labs.rupahealth.com/store/storefront_6G8PpGP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Ilana Goldberg appears to include the representations "hormone imbalance," "digestive disorders," "chronic inflammation," and "metabolic health."</w:t>
      </w:r>
    </w:p>
    <w:p>
      <w:pPr>
        <w:pStyle w:val="Heading2"/>
      </w:pPr>
      <w:r>
        <w:rPr/>
        <w:t xml:space="preserve">B. Scope of Practice Concerns</w:t>
      </w:r>
    </w:p>
    <w:p>
      <w:pPr/>
      <w:r>
        <w:rPr/>
        <w:t xml:space="preserve">Public content appears to address autoimmune disease, hormone imbalance, Hashimoto’s autoimmune thyroiditis, functional medicine for autoimmune disease, and digestive disorders. The provided public-record review describes a Virginia chiropractic license as covering the spine, joints, and muscles, and not covering diagnosis or treatment of autoimmune disease, hormone imbalance, thyroid disease, IBS, or gut disorders. Public content also appears to address chronic inflammation, metabolic health, and Root Cause Diagnostic Testing. The review indicates that the applicable licensing rules may place chronic inflammation and metabolic health outside the D.C. scope in Virginia, and describes Root Cause Diagnostic Testing as a gray area.</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FALSE, MISLEADING, OR DECEPTIVE ADVERTISING</w:t>
      </w:r>
    </w:p>
    <w:p>
      <w:pPr/>
      <w:r>
        <w:rPr/>
        <w:t xml:space="preserve">Cited authority: 18VAC85-20-30 and Va. Code Section 54.1-2915.</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18VAC85-20-30 and Va. Code Section 54.1-2915 and warrants Board investigation.</w:t>
      </w:r>
    </w:p>
    <w:p>
      <w:pPr>
        <w:pStyle w:val="Heading2"/>
      </w:pPr>
      <w:r>
        <w:rPr/>
        <w:t xml:space="preserve">COUNT II: PRACTITIONER-PATIENT MISREPRESENTATION</w:t>
      </w:r>
    </w:p>
    <w:p>
      <w:pPr/>
      <w:r>
        <w:rPr/>
        <w:t xml:space="preserve">Cited authority: 18VAC85-20-28 and Va. Code Section 54.1-2915.</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18VAC85-20-28 and Va. Code Section 54.1-2915 and warrants Board investigation.</w:t>
      </w:r>
    </w:p>
    <w:p>
      <w:pPr>
        <w:pStyle w:val="Heading2"/>
      </w:pPr>
      <w:r>
        <w:rPr/>
        <w:t xml:space="preserve">COUNT III: PRACTICE REPRESENTATIONS BEYOND CHIROPRACTIC SCOPE</w:t>
      </w:r>
    </w:p>
    <w:p>
      <w:pPr/>
      <w:r>
        <w:rPr/>
        <w:t xml:space="preserve">Cited authority: Va. Code Section 54.1-2900 and Section 54.1-2915.</w:t>
      </w:r>
    </w:p>
    <w:p>
      <w:pPr/>
      <w:r>
        <w:rPr/>
        <w:t xml:space="preserve">The public materials described in the Statement of Facts above appear to address autoimmune disease, hormone imbalance, A Holistic Approach To HASHIMOTO’S AUTOIMMUNE THYROIDITIS, Functional Medicine for Autoimmune Disease, digestive disorders, chronic inflammation, metabolic health, and Root Cause Diagnostic Testing, which the cited rule text suggests may fall outside the D.C. scope.</w:t>
      </w:r>
    </w:p>
    <w:p>
      <w:pPr/>
      <w:r>
        <w:rPr/>
        <w:t xml:space="preserve">The conduct described above raises substantial concerns under Va. Code Section 54.1-2900 and Section 54.1-2915 and warrants Board investigation.</w:t>
      </w:r>
    </w:p>
    <w:p>
      <w:pPr>
        <w:pStyle w:val="Heading2"/>
      </w:pPr>
      <w:r>
        <w:rPr/>
        <w:t xml:space="preserve">COUNT IV: FINANCIAL EXPLOITATION THROUGH A COMMERCIALIZED CLINICAL MODEL</w:t>
      </w:r>
    </w:p>
    <w:p>
      <w:pPr/>
      <w:r>
        <w:rPr/>
        <w:t xml:space="preserve">Cited authority: 18VAC85-20-29 and Va. Code Section 54.1-2915.</w:t>
      </w:r>
    </w:p>
    <w:p>
      <w:pPr/>
      <w:r>
        <w:rPr/>
        <w:t xml:space="preserve">The conduct described above raises substantial concerns under 18VAC85-20-29 and Va. Code Section 54.1-2915 and warrants Board investigation.</w:t>
      </w:r>
    </w:p>
    <w:p>
      <w:pPr>
        <w:pStyle w:val="Heading2"/>
      </w:pPr>
      <w:r>
        <w:rPr/>
        <w:t xml:space="preserve">COUNT V: FAILURE TO DISCLOSE FINANCIAL INTERESTS</w:t>
      </w:r>
    </w:p>
    <w:p>
      <w:pPr/>
      <w:r>
        <w:rPr/>
        <w:t xml:space="preserve">Cited authority: Va. Code Section 54.1-2963(B) and Section 54.1-2964.</w:t>
      </w:r>
    </w:p>
    <w:p>
      <w:pPr/>
      <w:r>
        <w:rPr/>
        <w:t xml:space="preserve">The conduct described above raises substantial concerns under Va. Code Section 54.1-2963(B) and Section 54.1-2964 and warrants Board investigation.</w:t>
      </w:r>
    </w:p>
    <w:p>
      <w:pPr>
        <w:pStyle w:val="Heading2"/>
      </w:pPr>
      <w:r>
        <w:rPr/>
        <w:t xml:space="preserve">COUNT VI: PATIENT RECORDS AND DOCUMENTATION DEFICIENCIES</w:t>
      </w:r>
    </w:p>
    <w:p>
      <w:pPr/>
      <w:r>
        <w:rPr/>
        <w:t xml:space="preserve">Cited authority: 18VAC85-20-26 and 18VAC85-20-30.</w:t>
      </w:r>
    </w:p>
    <w:p>
      <w:pPr/>
      <w:r>
        <w:rPr/>
        <w:t xml:space="preserve">The conduct described above raises substantial concerns under 18VAC85-20-26 and 18VAC85-20-30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https://dhp.virginiainteractive.org/lookup/index</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https://holistichealthprovider.com/</w:t>
            </w:r>
          </w:p>
        </w:tc>
        <w:tc>
          <w:tcPr>
            <w:tcW w:w="0" w:type="auto"/>
          </w:tcPr>
          <w:p>
            <w:pPr/>
            <w:r>
              <w:rPr/>
              <w:t xml:space="preserve">https://web.archive.org/web/20260823121406/https://holistichealthprovider.com/ (captured 2026082312)</w:t>
            </w:r>
          </w:p>
        </w:tc>
      </w:tr>
      <w:tr>
        <w:tc>
          <w:tcPr>
            <w:tcW w:w="0" w:type="auto"/>
          </w:tcPr>
          <w:p>
            <w:pPr/>
            <w:r>
              <w:rPr/>
              <w:t xml:space="preserve">Exhibit C</w:t>
            </w:r>
          </w:p>
        </w:tc>
        <w:tc>
          <w:tcPr>
            <w:tcW w:w="0" w:type="auto"/>
          </w:tcPr>
          <w:p>
            <w:pPr/>
            <w:r>
              <w:rPr/>
              <w:t xml:space="preserve">Storefront or vendor link (Fullscript)</w:t>
            </w:r>
          </w:p>
        </w:tc>
        <w:tc>
          <w:tcPr>
            <w:tcW w:w="0" w:type="auto"/>
          </w:tcPr>
          <w:p>
            <w:pPr/>
            <w:r>
              <w:rPr/>
              <w:t xml:space="preserve">https://us.fullscript.com/welcome/igoldberg</w:t>
            </w:r>
          </w:p>
        </w:tc>
        <w:tc>
          <w:tcPr>
            <w:tcW w:w="0" w:type="auto"/>
          </w:tcPr>
          <w:p>
            <w:pPr/>
            <w:r>
              <w:rPr/>
              <w:t xml:space="preserve">https://web.archive.org/web/20260706200909/https://us.fullscript.com/welcome/igoldberg (captured 2026070620)</w:t>
            </w:r>
          </w:p>
        </w:tc>
      </w:tr>
      <w:tr>
        <w:tc>
          <w:tcPr>
            <w:tcW w:w="0" w:type="auto"/>
          </w:tcPr>
          <w:p>
            <w:pPr/>
            <w:r>
              <w:rPr/>
              <w:t xml:space="preserve">Exhibit D</w:t>
            </w:r>
          </w:p>
        </w:tc>
        <w:tc>
          <w:tcPr>
            <w:tcW w:w="0" w:type="auto"/>
          </w:tcPr>
          <w:p>
            <w:pPr/>
            <w:r>
              <w:rPr/>
              <w:t xml:space="preserve">Storefront or vendor link (Rupa Health)</w:t>
            </w:r>
          </w:p>
        </w:tc>
        <w:tc>
          <w:tcPr>
            <w:tcW w:w="0" w:type="auto"/>
          </w:tcPr>
          <w:p>
            <w:pPr/>
            <w:r>
              <w:rPr/>
              <w:t xml:space="preserve">https://labs.rupahealth.com/store/storefront_6G8PpGP</w:t>
            </w:r>
          </w:p>
        </w:tc>
        <w:tc>
          <w:tcPr>
            <w:tcW w:w="0" w:type="auto"/>
          </w:tcPr>
          <w:p>
            <w:pPr/>
            <w:r>
              <w:rPr/>
              <w:t xml:space="preserve">https://web.archive.org/web/20260706200847/https://labs.rupahealth.com/store/storefront_6G8PpGP (captured 2026070620)</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