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Kansas. It is not legal advice.</w:t>
      </w:r>
    </w:p>
    <w:p>
      <w:pPr>
        <w:jc w:val="center"/>
      </w:pPr>
      <w:r>
        <w:rPr>
          <w:b/>
        </w:rPr>
        <w:t xml:space="preserve">KANSAS STATE BOARD OF HEALING ARTS</w:t>
      </w:r>
    </w:p>
    <w:p>
      <w:pPr>
        <w:pStyle w:val="Heading1"/>
        <w:jc w:val="center"/>
      </w:pPr>
      <w:r>
        <w:rPr/>
        <w:t xml:space="preserve">FORMAL COMPLAINT REQUESTING INVESTIGATION AND REVIEW</w:t>
      </w:r>
    </w:p>
    <w:p>
      <w:pPr/>
      <w:r>
        <w:rPr>
          <w:b/>
        </w:rPr>
        <w:t xml:space="preserve">In the Matter of:</w:t>
      </w:r>
    </w:p>
    <w:p>
      <w:pPr/>
      <w:r>
        <w:rPr/>
        <w:t xml:space="preserve">Paul Daniel Fay</w:t>
      </w:r>
    </w:p>
    <w:p>
      <w:pPr/>
      <w:r>
        <w:rPr/>
        <w:t xml:space="preserve">License No. [LICENSE NUMBER, IF KNOWN]</w:t>
      </w:r>
    </w:p>
    <w:p>
      <w:pPr/>
      <w:r>
        <w:rPr/>
        <w:t xml:space="preserve">NPI (public registry): 1033646500</w:t>
      </w:r>
    </w:p>
    <w:p>
      <w:pPr>
        <w:pStyle w:val="Heading1"/>
      </w:pPr>
      <w:r>
        <w:rPr/>
        <w:t xml:space="preserve">I. INTRODUCTION</w:t>
      </w:r>
    </w:p>
    <w:p>
      <w:pPr/>
      <w:r>
        <w:rPr/>
        <w:t xml:space="preserve">Complainant respectfully submits this complaint to the Kansas State Board of Healing Arts requesting formal investigation and regulatory review concerning Paul Daniel Fay (the Respondent), identified in the attached public materials.</w:t>
      </w:r>
    </w:p>
    <w:p>
      <w:pPr/>
      <w:r>
        <w:rPr/>
        <w:t xml:space="preserve">The public materials reviewed appear to present representations concerning the identification and management of health conditions, including Thyroid Complex, Adrenal Health Pack supports healthy adrenal function and emotional balance, Adrenal Desiccated provides short term adrenal support for immediate energy needs, Adrenal Complex provides stress response support, Albaplex provides advanced kidney support, and A-F Betafood supports gallbladder health, that may extend beyond the DC scope in Kansas.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https://ffc.standardprocess.com/products, https://fayfamilychiro.com/, https://ffc.standardprocess.com/ and the public registry and license verification sources listed in the exhibit index below.</w:t>
      </w:r>
    </w:p>
    <w:p>
      <w:pPr>
        <w:pStyle w:val="Heading1"/>
      </w:pPr>
      <w:r>
        <w:rPr/>
        <w:t xml:space="preserve">II. STATEMENT OF FACTS</w:t>
      </w:r>
    </w:p>
    <w:p>
      <w:pPr/>
      <w:r>
        <w:rPr/>
        <w:t xml:space="preserve">{"A. Scope of Practice Concerns":"Public content appears to address Thyroid Complex; Adrenal Health Pack, described as supporting healthy adrenal function and emotional balance; Adrenal Desiccated, described as providing short term adrenal support for immediate energy needs; Adrenal Complex, described as providing stress response support; Albaplex, described as providing advanced kidney support; A-F Betafood, described as supporting gallbladder health; AllergCo, described as supporting seasonal stress, immune, respiratory, and skin health; Allerplex, described as providing environmental support; and Andrographis Complex, described as providing short-term immune system support. The same public content appears to address branded adrenal-support supplements, a branded kidney-support supplement, and a branded gallbladder-support supplement. The cited rule text suggests that these subjects may fall outside the DC scope in Kansas.","B. Complainant's Own Experience":"[DESCRIBE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Kansas Healing Arts Act, K.S.A. 65-2801 et seq. and K.S.A. 65-2836(g).</w:t>
      </w:r>
    </w:p>
    <w:p>
      <w:pPr/>
      <w:r>
        <w:rPr/>
        <w:t xml:space="preserve">The public materials described in the Statement of Facts above appear to address Thyroid Complex, Adrenal Health Pack supports healthy adrenal function and emotional balance, Adrenal Desiccated provides short term adrenal support for immediate energy needs, Adrenal Complex provides stress response support, Albaplex provides advanced kidney support, A-F Betafood supports gallbladder health, AllergCo supports seasonal stress, immune, respiratory, and skin health, Allerplex provides environmental support, Andrographis Complex provides short-term immune system support, Branded adrenal-support supplements, Branded kidney-support supplement, and Branded gallbladder-support supplement, which the cited rule text suggests may fall outside the DC scope.</w:t>
      </w:r>
    </w:p>
    <w:p>
      <w:pPr/>
      <w:r>
        <w:rPr/>
        <w:t xml:space="preserve">The conduct described above raises substantial concerns under Kansas Healing Arts Act, K.S.A. 65-2801 et seq. and K.S.A. 65-2836(g) and warrants Board investigation.</w:t>
      </w:r>
    </w:p>
    <w:p>
      <w:pPr>
        <w:pStyle w:val="Heading2"/>
      </w:pPr>
      <w:r>
        <w:rPr/>
        <w:t xml:space="preserve">COUNT II: CHRONIC-CONDITION FUNCTIONAL MEDICINE ADVERTISING AND REPRESENTATIONS</w:t>
      </w:r>
    </w:p>
    <w:p>
      <w:pPr/>
      <w:r>
        <w:rPr/>
        <w:t xml:space="preserve">Cited authority: K.S.A. 65-2837(b)(12), 65-2837(b)(13), and 65-2871.</w:t>
      </w:r>
    </w:p>
    <w:p>
      <w:pPr/>
      <w:r>
        <w:rPr/>
        <w:t xml:space="preserve">The conduct described above raises substantial concerns under K.S.A. 65-2837(b)(12), 65-2837(b)(13), and 65-2871 and warrants Board investigation.</w:t>
      </w:r>
    </w:p>
    <w:p>
      <w:pPr>
        <w:pStyle w:val="Heading2"/>
      </w:pPr>
      <w:r>
        <w:rPr/>
        <w:t xml:space="preserve">COUNT III: FUNCTIONAL LABORATORY TESTING AND HEALTH-PLANNING REPRESENTATIONS</w:t>
      </w:r>
    </w:p>
    <w:p>
      <w:pPr/>
      <w:r>
        <w:rPr/>
        <w:t xml:space="preserve">Cited authority: K.S.A. 65-2837(b)(1) and 65-2836(g).</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K.S.A. 65-2837(b)(1) and 65-2836(g) and warrants Board investigation.</w:t>
      </w:r>
    </w:p>
    <w:p>
      <w:pPr>
        <w:pStyle w:val="Heading2"/>
      </w:pPr>
      <w:r>
        <w:rPr/>
        <w:t xml:space="preserve">COUNT IV: SUPPLEMENT-INTEGRATED FUNCTIONAL MEDICINE AND COMMERCIAL PRACTICE STRUCTURE</w:t>
      </w:r>
    </w:p>
    <w:p>
      <w:pPr/>
      <w:r>
        <w:rPr/>
        <w:t xml:space="preserve">Cited authority: K.S.A. 65-2837 and 65-2871.</w:t>
      </w:r>
    </w:p>
    <w:p>
      <w:pPr/>
      <w:r>
        <w:rPr/>
        <w:t xml:space="preserve">The conduct described above raises substantial concerns under K.S.A. 65-2837 and 65-2871 and warrants Board investigation.</w:t>
      </w:r>
    </w:p>
    <w:p>
      <w:pPr>
        <w:pStyle w:val="Heading2"/>
      </w:pPr>
      <w:r>
        <w:rPr/>
        <w:t xml:space="preserve">COUNT V: UNPROFESSIONAL CONDUCT</w:t>
      </w:r>
    </w:p>
    <w:p>
      <w:pPr/>
      <w:r>
        <w:rPr/>
        <w:t xml:space="preserve">Cited authority: K.S.A. 65-2836 and 65-2837.</w:t>
      </w:r>
    </w:p>
    <w:p>
      <w:pPr/>
      <w:r>
        <w:rPr/>
        <w:t xml:space="preserve">The conduct described above raises substantial concerns under K.S.A. 65-2836 and 65-2837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https://ksbha.kansas.gov/verifications/</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https://ffc.standardprocess.com/products</w:t>
            </w:r>
          </w:p>
        </w:tc>
        <w:tc>
          <w:tcPr>
            <w:tcW w:w="0" w:type="auto"/>
          </w:tcPr>
          <w:p>
            <w:pPr/>
            <w:r>
              <w:rPr/>
              <w:t xml:space="preserve">https://web.archive.org/web/20260724173707/https://ffc.standardprocess.com/products (captured 2026072417)</w:t>
            </w:r>
          </w:p>
        </w:tc>
      </w:tr>
      <w:tr>
        <w:tc>
          <w:tcPr>
            <w:tcW w:w="0" w:type="auto"/>
          </w:tcPr>
          <w:p>
            <w:pPr/>
            <w:r>
              <w:rPr/>
              <w:t xml:space="preserve">Exhibit C</w:t>
            </w:r>
          </w:p>
        </w:tc>
        <w:tc>
          <w:tcPr>
            <w:tcW w:w="0" w:type="auto"/>
          </w:tcPr>
          <w:p>
            <w:pPr/>
            <w:r>
              <w:rPr/>
              <w:t xml:space="preserve">Additional public practice website</w:t>
            </w:r>
          </w:p>
        </w:tc>
        <w:tc>
          <w:tcPr>
            <w:tcW w:w="0" w:type="auto"/>
          </w:tcPr>
          <w:p>
            <w:pPr/>
            <w:r>
              <w:rPr/>
              <w:t xml:space="preserve">https://fayfamilychiro.com/</w:t>
            </w:r>
          </w:p>
        </w:tc>
        <w:tc>
          <w:tcPr>
            <w:tcW w:w="0" w:type="auto"/>
          </w:tcPr>
          <w:p>
            <w:pPr/>
            <w:r>
              <w:rPr/>
              <w:t xml:space="preserve">[attach a printed, dated capture]</w:t>
            </w:r>
          </w:p>
        </w:tc>
      </w:tr>
      <w:tr>
        <w:tc>
          <w:tcPr>
            <w:tcW w:w="0" w:type="auto"/>
          </w:tcPr>
          <w:p>
            <w:pPr/>
            <w:r>
              <w:rPr/>
              <w:t xml:space="preserve">Exhibit D</w:t>
            </w:r>
          </w:p>
        </w:tc>
        <w:tc>
          <w:tcPr>
            <w:tcW w:w="0" w:type="auto"/>
          </w:tcPr>
          <w:p>
            <w:pPr/>
            <w:r>
              <w:rPr/>
              <w:t xml:space="preserve">Storefront or vendor link (Standard Process)</w:t>
            </w:r>
          </w:p>
        </w:tc>
        <w:tc>
          <w:tcPr>
            <w:tcW w:w="0" w:type="auto"/>
          </w:tcPr>
          <w:p>
            <w:pPr/>
            <w:r>
              <w:rPr/>
              <w:t xml:space="preserve">https://ffc.standardprocess.com/</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