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Deb Proechel</w:t>
      </w:r>
    </w:p>
    <w:p>
      <w:pPr/>
      <w:r>
        <w:rPr/>
        <w:t xml:space="preserve">License No. [LICENSE NUMBER, IF KNOWN]</w:t>
      </w:r>
    </w:p>
    <w:p>
      <w:pPr/>
      <w:r>
        <w:rPr/>
        <w:t xml:space="preserve">Freeport, MN Chiropractor</w:t>
      </w:r>
    </w:p>
    <w:p>
      <w:pPr/>
      <w:r>
        <w:rPr/>
        <w:t xml:space="preserve">103 3rd Avenue NE, Freeport, Minnesota, 56331</w:t>
      </w:r>
    </w:p>
    <w:p>
      <w:pPr/>
      <w:r>
        <w:rPr/>
        <w:t xml:space="preserve">NPI (public registry): 1952347486</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Deb Proechel (the Respondent), practicing through Freeport, MN Chiropractor, 103 3rd Avenue NE, Freeport, Minnesota, 56331.</w:t>
      </w:r>
    </w:p>
    <w:p>
      <w:pPr/>
      <w:r>
        <w:rPr/>
        <w:t xml:space="preserve">The public materials reviewed appear to present representations concerning the identification and management of health conditions, including Female Hormone Profile, Neuro-Emotional Technique, Bio-Terrain Testing, Hair Analysis, Stool Analysis, and Zinc Tally, that may extend beyond the D.C.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https://www.drproechel.com/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Female Hormone Profile, which the cited rule text suggests may fall outside the D.C. scope in Minnesota. Public content appears to address Neuro-Emotional Technique, which the cited rule text suggests may fall outside the D.C. scope in Minnesota. Public content appears to address Bio-Terrain Testing, which the cited rule text suggests may fall outside the D.C. scope in Minnesota. Public content appears to address Hair Analysis, which the cited rule text suggests may fall outside the D.C. scope in Minnesota. Public content appears to address Stool Analysis, which the cited rule text suggests may fall outside the D.C. scope in Minnesota. Public content appears to address Zinc Tally, which the cited rule text suggests may fall outside the D.C. scope in Minnesota. Public content appears to address Naturopathy, which the cited rule text suggests may fall outside the D.C. scope in Minnesota. Public content appears to address Functional care, which the cited rule text suggests may fall outside the D.C. scope in Minnesota. Public content appears to address Foot Leveler custom-made orthotics, which the cited rule text suggests may fall outside the D.C. scope in Minnesota. Public content appears to address Metagenics Products, which the cited rule text suggests may fall outside the D.C. scope in Minnesota. Public content appears to address Apex Energetics Products, which the cited rule text suggests may fall outside the D.C. scope in Minnesota. Public content appears to address Nutri-Dyn Products, which the cited rule text suggests may fall outside the D.C.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Female Hormone Profile, Neuro-Emotional Technique, Bio-Terrain Testing, Hair Analysis, Stool Analysis, Zinc Tally, Naturopathy, Functional care, Foot Leveler custom-made orthotics, Metagenics Products, Apex Energetics Products, and Nutri-Dyn Products,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https://www.drproechel.com/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