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Tennessee. It is not legal advice.</w:t>
      </w:r>
    </w:p>
    <w:p>
      <w:pPr>
        <w:jc w:val="center"/>
      </w:pPr>
      <w:r>
        <w:rPr>
          <w:b/>
        </w:rPr>
        <w:t xml:space="preserve">TENNESSEE BOARD OF CHIROPRACTIC EXAMINERS</w:t>
      </w:r>
    </w:p>
    <w:p>
      <w:pPr>
        <w:jc w:val="center"/>
      </w:pPr>
      <w:r>
        <w:rPr>
          <w:b/>
        </w:rPr>
        <w:t xml:space="preserve">TENNESSEE DEPARTMENT OF HEALTH</w:t>
      </w:r>
    </w:p>
    <w:p>
      <w:pPr>
        <w:pStyle w:val="Heading1"/>
        <w:jc w:val="center"/>
      </w:pPr>
      <w:r>
        <w:rPr/>
        <w:t xml:space="preserve">FORMAL COMPLAINT REQUESTING INVESTIGATION AND REVIEW</w:t>
      </w:r>
    </w:p>
    <w:p>
      <w:pPr/>
      <w:r>
        <w:rPr>
          <w:b/>
        </w:rPr>
        <w:t xml:space="preserve">In the Matter of:</w:t>
      </w:r>
    </w:p>
    <w:p>
      <w:pPr/>
      <w:r>
        <w:rPr/>
        <w:t xml:space="preserve">Todd Vincent Farney</w:t>
      </w:r>
    </w:p>
    <w:p>
      <w:pPr/>
      <w:r>
        <w:rPr/>
        <w:t xml:space="preserve">License No. [LICENSE NUMBER, IF KNOWN]</w:t>
      </w:r>
    </w:p>
    <w:p>
      <w:pPr/>
      <w:r>
        <w:rPr/>
        <w:t xml:space="preserve">101 Bass Drive, Columbia, Tennessee, 38401-2433</w:t>
      </w:r>
    </w:p>
    <w:p>
      <w:pPr/>
      <w:r>
        <w:rPr/>
        <w:t xml:space="preserve">NPI (public registry): 1336249143</w:t>
      </w:r>
    </w:p>
    <w:p>
      <w:pPr>
        <w:pStyle w:val="Heading1"/>
      </w:pPr>
      <w:r>
        <w:rPr/>
        <w:t xml:space="preserve">I. INTRODUCTION</w:t>
      </w:r>
    </w:p>
    <w:p>
      <w:pPr/>
      <w:r>
        <w:rPr/>
        <w:t xml:space="preserve">Complainant respectfully submits this complaint to the TENNESSEE BOARD OF CHIROPRACTIC EXAMINERS requesting formal investigation and regulatory review concerning Todd Vincent Farney (the Respondent), identified in the attached public materials.</w:t>
      </w:r>
    </w:p>
    <w:p>
      <w:pPr/>
      <w:r>
        <w:rPr/>
        <w:t xml:space="preserve">The public materials reviewed appear to present representations concerning the identification and management of health conditions that may extend beyond the D.C. scope in Tennessee. The materials also appear to describe paid consultations, care plans, or product sales offered in connection with those representations.</w:t>
      </w:r>
    </w:p>
    <w:p>
      <w:pPr/>
      <w:r>
        <w:rPr/>
        <w:t xml:space="preserve">Public registry records associate the Respondent's licensure with Kansas, while the practice location described in the public materials is in Tennessee. This complaint is directed to the board for the state where the practice is publicly advertised. The licensing authority in Kansas may also accept a complaint concerning the same conduct.</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https://www.youtube.com/watch?v=XjiqtBztLQM and the public registry and license verification sources listed in the exhibit index below.</w:t>
      </w:r>
    </w:p>
    <w:p>
      <w:pPr>
        <w:pStyle w:val="Heading1"/>
      </w:pPr>
      <w:r>
        <w:rPr/>
        <w:t xml:space="preserve">II. STATEMENT OF FACTS</w:t>
      </w:r>
    </w:p>
    <w:p>
      <w:pPr>
        <w:pStyle w:val="Heading2"/>
      </w:pPr>
      <w:r>
        <w:rPr/>
        <w:t xml:space="preserve">A. Public Marketing Representations</w:t>
      </w:r>
    </w:p>
    <w:p>
      <w:pPr/>
      <w:r>
        <w:rPr/>
        <w:t xml:space="preserve">Publicly posted content appears to make the representation that "sleep is the most important thing when it comes to recovering from chronic illness." The same publicly posted content appears to represent that "The average HRV that you should have um in order to have good resilience is above 30." Additionally, publicly posted content appears to state that "research says that you should have about 180 minutes per week of zone 2 cardio in order to be in really good cardiovascular fitness."</w:t>
      </w:r>
    </w:p>
    <w:p>
      <w:pPr>
        <w:pStyle w:val="Heading2"/>
      </w:pPr>
      <w:r>
        <w:rPr/>
        <w:t xml:space="preserve">B. Consultation and Monetization Structure</w:t>
      </w:r>
    </w:p>
    <w:p>
      <w:pPr/>
      <w:r>
        <w:rPr/>
        <w:t xml:space="preserve">Public materials appear to describe a consultation and monetization structure in which the compensation model includes an affiliate commission for Whoop.</w:t>
      </w:r>
    </w:p>
    <w:p>
      <w:pPr>
        <w:pStyle w:val="Heading2"/>
      </w:pPr>
      <w:r>
        <w:rPr/>
        <w:t xml:space="preserve">C. Storefront and Product Sales</w:t>
      </w:r>
    </w:p>
    <w:p>
      <w:pPr/>
      <w:r>
        <w:rPr/>
        <w:t xml:space="preserve">Public materials appear to link to Whoop, and the vendor's public materials describe provider compensation for such links.</w:t>
      </w:r>
    </w:p>
    <w:p>
      <w:pPr>
        <w:pStyle w:val="Heading2"/>
      </w:pPr>
      <w:r>
        <w:rPr/>
        <w:t xml:space="preserve">D.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PRACTICING BEYOND THE LAWFUL SCOPE OF CHIROPRACTIC</w:t>
      </w:r>
    </w:p>
    <w:p>
      <w:pPr/>
      <w:r>
        <w:rPr/>
        <w:t xml:space="preserve">Cited authority: T.C.A. Section 63-4-101 and Rule 0260-02-.02.</w:t>
      </w:r>
    </w:p>
    <w:p>
      <w:pPr/>
      <w:r>
        <w:rPr/>
        <w:t xml:space="preserve">The public materials described in the Statement of Facts above appear to address the evaluation and management of health conditions in a manner that the cited rule text suggests may fall outside the D.C. scope.</w:t>
      </w:r>
    </w:p>
    <w:p>
      <w:pPr/>
      <w:r>
        <w:rPr/>
        <w:t xml:space="preserve">The conduct described above raises substantial concerns under T.C.A. Section 63-4-101 and Rule 0260-02-.02 and warrants Board investigation.</w:t>
      </w:r>
    </w:p>
    <w:p>
      <w:pPr>
        <w:pStyle w:val="Heading2"/>
      </w:pPr>
      <w:r>
        <w:rPr/>
        <w:t xml:space="preserve">COUNT II: DECEPTIVE AND MISLEADING CONDUCT</w:t>
      </w:r>
    </w:p>
    <w:p>
      <w:pPr/>
      <w:r>
        <w:rPr/>
        <w:t xml:space="preserve">Cited authority: Rule 0260-02-.13(1) and T.C.A. Section 63-1-123.</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Rule 0260-02-.13(1) and T.C.A. Section 63-1-123 and warrants Board investigation.</w:t>
      </w:r>
    </w:p>
    <w:p>
      <w:pPr>
        <w:pStyle w:val="Heading2"/>
      </w:pPr>
      <w:r>
        <w:rPr/>
        <w:t xml:space="preserve">COUNT III: MISREPRESENTATION OF PROFESSIONAL STATUS AND TITLE</w:t>
      </w:r>
    </w:p>
    <w:p>
      <w:pPr/>
      <w:r>
        <w:rPr/>
        <w:t xml:space="preserve">Cited authority: Rule 0260-02-.03.</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Rule 0260-02-.03 and warrants Board investigation.</w:t>
      </w:r>
    </w:p>
    <w:p>
      <w:pPr>
        <w:pStyle w:val="Heading2"/>
      </w:pPr>
      <w:r>
        <w:rPr/>
        <w:t xml:space="preserve">COUNT IV: EXCESSIVE EXAMINATIONS AND TREATMENT</w:t>
      </w:r>
    </w:p>
    <w:p>
      <w:pPr/>
      <w:r>
        <w:rPr/>
        <w:t xml:space="preserve">Cited authority: Rule 0260-02-.13(5) and 0260-02-.13(6).</w:t>
      </w:r>
    </w:p>
    <w:p>
      <w:pPr/>
      <w:r>
        <w:rPr/>
        <w:t xml:space="preserve">The conduct described above raises substantial concerns under Rule 0260-02-.13(5) and 0260-02-.13(6) and warrants Board investigation.</w:t>
      </w:r>
    </w:p>
    <w:p>
      <w:pPr>
        <w:pStyle w:val="Heading2"/>
      </w:pPr>
      <w:r>
        <w:rPr/>
        <w:t xml:space="preserve">COUNT V: USE OF UNLICENSED ASSISTANTS</w:t>
      </w:r>
    </w:p>
    <w:p>
      <w:pPr/>
      <w:r>
        <w:rPr/>
        <w:t xml:space="preserve">Cited authority: Rule 0260-02-.13(9).</w:t>
      </w:r>
    </w:p>
    <w:p>
      <w:pPr/>
      <w:r>
        <w:rPr/>
        <w:t xml:space="preserve">The conduct described above raises substantial concerns under Rule 0260-02-.13(9)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r>
        <w:rPr/>
        <w:t xml:space="preserve">6. Public registry records also associate the licensure with Kansas; consider sending a copy of this complaint to that state's board as well.</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https://apps.health.tn.gov/Licensure/</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https://www.youtube.com/watch?v=XjiqtBztLQM</w:t>
            </w:r>
          </w:p>
        </w:tc>
        <w:tc>
          <w:tcPr>
            <w:tcW w:w="0" w:type="auto"/>
          </w:tcPr>
          <w:p>
            <w:pPr/>
            <w:r>
              <w:rPr/>
              <w:t xml:space="preserve">https://web.archive.org/web/20260707004300/https://www.youtube.com/watch?v=XjiqtBztLQM (captured 2026070700)</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