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Tennessee. It is not legal advice.</w:t>
      </w:r>
    </w:p>
    <w:p>
      <w:pPr>
        <w:jc w:val="center"/>
      </w:pPr>
      <w:r>
        <w:rPr>
          <w:b/>
        </w:rPr>
        <w:t xml:space="preserve">TENNESSEE BOARD OF CHIROPRACTIC EXAMINERS</w:t>
      </w:r>
    </w:p>
    <w:p>
      <w:pPr>
        <w:jc w:val="center"/>
      </w:pPr>
      <w:r>
        <w:rPr>
          <w:b/>
        </w:rPr>
        <w:t xml:space="preserve">TENNESSEE DEPARTMENT OF HEALTH</w:t>
      </w:r>
    </w:p>
    <w:p>
      <w:pPr>
        <w:pStyle w:val="Heading1"/>
        <w:jc w:val="center"/>
      </w:pPr>
      <w:r>
        <w:rPr/>
        <w:t xml:space="preserve">FORMAL COMPLAINT REQUESTING INVESTIGATION AND REVIEW</w:t>
      </w:r>
    </w:p>
    <w:p>
      <w:pPr/>
      <w:r>
        <w:rPr>
          <w:b/>
        </w:rPr>
        <w:t xml:space="preserve">In the Matter of:</w:t>
      </w:r>
    </w:p>
    <w:p>
      <w:pPr/>
      <w:r>
        <w:rPr/>
        <w:t xml:space="preserve">Todd Vincent Farney</w:t>
      </w:r>
    </w:p>
    <w:p>
      <w:pPr/>
      <w:r>
        <w:rPr/>
        <w:t xml:space="preserve">License No. [LICENSE NUMBER, IF KNOWN]</w:t>
      </w:r>
    </w:p>
    <w:p>
      <w:pPr/>
      <w:r>
        <w:rPr/>
        <w:t xml:space="preserve">101 Bass Drive, Columbia, Tennessee, 38401-2433</w:t>
      </w:r>
    </w:p>
    <w:p>
      <w:pPr/>
      <w:r>
        <w:rPr/>
        <w:t xml:space="preserve">NPI (public registry): 1336249143</w:t>
      </w:r>
    </w:p>
    <w:p>
      <w:pPr>
        <w:pStyle w:val="Heading1"/>
      </w:pPr>
      <w:r>
        <w:rPr/>
        <w:t xml:space="preserve">I. INTRODUCTION</w:t>
      </w:r>
    </w:p>
    <w:p>
      <w:pPr/>
      <w:r>
        <w:rPr/>
        <w:t xml:space="preserve">Complainant respectfully submits this complaint to the TENNESSEE BOARD OF CHIROPRACTIC EXAMINERS requesting formal investigation and regulatory review concerning Todd Vincent Farney (the Respondent), identified in the attached public materials.</w:t>
      </w:r>
    </w:p>
    <w:p>
      <w:pPr/>
      <w:r>
        <w:rPr/>
        <w:t xml:space="preserve">The public materials reviewed appear to present representations concerning the identification and management of health conditions, including Chronic Fatigue, Most chronic fatigue protocols do not work, Pycnogenol acts as an anti-diabetic agent, Digestive concerns like bloating, IBS, or reflux, Thyroid and adrenal dysfunction, and Autoimmune and inflammatory conditions. A chiropractic license in Tennessee covers the spine, joints and muscles. It does not cover diagnosing or treating these conditions.</w:t>
      </w:r>
    </w:p>
    <w:p>
      <w:pPr/>
      <w:r>
        <w:rPr/>
        <w:t xml:space="preserve">Public registry records associate the Respondent's licensure with Kansas, while the practice location described in the public materials is in Tennessee. This complaint is directed to the board for the state where the practice is publicly advertised. The licensing authority in Kansas may also accept a complaint concerning the same conduct.</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https://www.youtube.com/watch?v=XjiqtBztLQM, https://functionalhealthtn.com/ and the public registry and license verification sources listed in the exhibit index below.</w:t>
      </w:r>
    </w:p>
    <w:p>
      <w:pPr>
        <w:pStyle w:val="Heading1"/>
      </w:pPr>
      <w:r>
        <w:rPr/>
        <w:t xml:space="preserve">II. STATEMENT OF FACTS</w:t>
      </w:r>
    </w:p>
    <w:p>
      <w:pPr/>
      <w:r>
        <w:rPr/>
        <w:t xml:space="preserve">{"A. Public Marketing Representations":"Publicly posted content appears to represent that \"A high HRV means you're adapting well to stress and you have resilience. A low HRV means you're having a poor recovery and you're not adapting well to stress.\" The same content appears to state, \"The average HRV that you should have um in order to have good resilience is above 30.\" Other public representations appear as \"Functional Health Solutions\" and \"Cardio &amp; HIIT strategies that boost HRV.\"","B. Scope of Practice Concerns":"Public content appears to address interpreting HRV as a marker of resilience and poor recovery in a quasi-diagnostic manner, setting a target HRV threshold as a wellness benchmark, and frameworks described as Functional health, underlying imbalance, Functional Medicine, and Complex Chronic Illness. Public content also appears to address Digestive Health, Immune System Support, root-cause treatment for previously treatment-resistant cases, gut, immune, and chronic health concerns, Functional Medicine for Complex Chronic Illness, Root-Cause Treatment for Gut and Immune Issues, and Functional Lab Testing. The applicable licensing rules are cited as suggesting that these subjects or approaches may fall outside the D.C. scope in Tennessee.","C. Complainant's Own Experience":"[DESCRIBE YOUR OWN EXPERIENCE, IF ANY]"}</w:t>
      </w:r>
    </w:p>
    <w:p>
      <w:pPr>
        <w:pStyle w:val="Heading1"/>
      </w:pPr>
      <w:r>
        <w:rPr/>
        <w:t xml:space="preserve">III. AREAS OF CONCERN</w:t>
      </w:r>
    </w:p>
    <w:p>
      <w:pPr>
        <w:pStyle w:val="Heading2"/>
      </w:pPr>
      <w:r>
        <w:rPr/>
        <w:t xml:space="preserve">COUNT I: PRACTICING BEYOND THE LAWFUL SCOPE OF CHIROPRACTIC</w:t>
      </w:r>
    </w:p>
    <w:p>
      <w:pPr/>
      <w:r>
        <w:rPr/>
        <w:t xml:space="preserve">Cited authority: T.C.A. Section 63-4-101 and Rule 0260-02-.02.</w:t>
      </w:r>
    </w:p>
    <w:p>
      <w:pPr/>
      <w:r>
        <w:rPr/>
        <w:t xml:space="preserve">The public materials described in the Statement of Facts above appear to address Chronic Fatigue, Most chronic fatigue protocols do not work, Pycnogenol acts as an anti-diabetic agent, Digestive concerns like bloating, IBS, or reflux, Thyroid and adrenal dysfunction, Autoimmune and inflammatory conditions, Mold Illness: The Hidden Factor Behind Persistent Symptoms, Interpreting HRV as a marker of resilience and poor recovery in a quasi-diagnostic way, Setting a target HRV threshold as a wellness benchmark, Functional health / underlying imbalance framework, Functional Medicine, and Complex Chronic Illness, which the cited rule text suggests may fall outside the D.C. scope.</w:t>
      </w:r>
    </w:p>
    <w:p>
      <w:pPr/>
      <w:r>
        <w:rPr/>
        <w:t xml:space="preserve">The conduct described above raises substantial concerns under T.C.A. Section 63-4-101 and Rule 0260-02-.02 and warrants Board investigation.</w:t>
      </w:r>
    </w:p>
    <w:p>
      <w:pPr>
        <w:pStyle w:val="Heading2"/>
      </w:pPr>
      <w:r>
        <w:rPr/>
        <w:t xml:space="preserve">COUNT II: DECEPTIVE AND MISLEADING CONDUCT</w:t>
      </w:r>
    </w:p>
    <w:p>
      <w:pPr/>
      <w:r>
        <w:rPr/>
        <w:t xml:space="preserve">Cited authority: Rule 0260-02-.13(1) and T.C.A. Section 63-1-123.</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Rule 0260-02-.13(1) and T.C.A. Section 63-1-123 and warrants Board investigation.</w:t>
      </w:r>
    </w:p>
    <w:p>
      <w:pPr>
        <w:pStyle w:val="Heading2"/>
      </w:pPr>
      <w:r>
        <w:rPr/>
        <w:t xml:space="preserve">COUNT III: MISREPRESENTATION OF PROFESSIONAL STATUS AND TITLE</w:t>
      </w:r>
    </w:p>
    <w:p>
      <w:pPr/>
      <w:r>
        <w:rPr/>
        <w:t xml:space="preserve">Cited authority: Rule 0260-02-.03.</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Rule 0260-02-.03 and warrants Board investigation.</w:t>
      </w:r>
    </w:p>
    <w:p>
      <w:pPr>
        <w:pStyle w:val="Heading2"/>
      </w:pPr>
      <w:r>
        <w:rPr/>
        <w:t xml:space="preserve">COUNT IV: EXCESSIVE EXAMINATIONS AND TREATMENT</w:t>
      </w:r>
    </w:p>
    <w:p>
      <w:pPr/>
      <w:r>
        <w:rPr/>
        <w:t xml:space="preserve">Cited authority: Rule 0260-02-.13(5) and 0260-02-.13(6).</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Rule 0260-02-.13(5) and 0260-02-.13(6) and warrants Board investigation.</w:t>
      </w:r>
    </w:p>
    <w:p>
      <w:pPr>
        <w:pStyle w:val="Heading2"/>
      </w:pPr>
      <w:r>
        <w:rPr/>
        <w:t xml:space="preserve">COUNT V: USE OF UNLICENSED ASSISTANTS</w:t>
      </w:r>
    </w:p>
    <w:p>
      <w:pPr/>
      <w:r>
        <w:rPr/>
        <w:t xml:space="preserve">Cited authority: Rule 0260-02-.13(9).</w:t>
      </w:r>
    </w:p>
    <w:p>
      <w:pPr/>
      <w:r>
        <w:rPr/>
        <w:t xml:space="preserve">The conduct described above raises substantial concerns under Rule 0260-02-.13(9)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r>
        <w:rPr/>
        <w:t xml:space="preserve">6. Public registry records also associate the licensure with Kansas; consider sending a copy of this complaint to that state's board as well.</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https://apps.health.tn.gov/Licensure/</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https://www.youtube.com/watch?v=XjiqtBztLQM</w:t>
            </w:r>
          </w:p>
        </w:tc>
        <w:tc>
          <w:tcPr>
            <w:tcW w:w="0" w:type="auto"/>
          </w:tcPr>
          <w:p>
            <w:pPr/>
            <w:r>
              <w:rPr/>
              <w:t xml:space="preserve">https://web.archive.org/web/20260707004300/https://www.youtube.com/watch?v=XjiqtBztLQM (captured 2026070700)</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https://functionalhealthtn.com/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