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Tennessee. It is not legal advice.</w:t>
      </w:r>
    </w:p>
    <w:p>
      <w:pPr>
        <w:jc w:val="center"/>
      </w:pPr>
      <w:r>
        <w:rPr>
          <w:b/>
        </w:rPr>
        <w:t xml:space="preserve">TENNESSEE BOARD OF CHIROPRACTIC EXAMINERS</w:t>
      </w:r>
    </w:p>
    <w:p>
      <w:pPr>
        <w:jc w:val="center"/>
      </w:pPr>
      <w:r>
        <w:rPr>
          <w:b/>
        </w:rPr>
        <w:t xml:space="preserve">TENNESSEE DEPARTMENT OF HEALTH</w:t>
      </w:r>
    </w:p>
    <w:p>
      <w:pPr>
        <w:pStyle w:val="Heading1"/>
        <w:jc w:val="center"/>
      </w:pPr>
      <w:r>
        <w:rPr/>
        <w:t xml:space="preserve">FORMAL COMPLAINT REQUESTING INVESTIGATION AND REVIEW</w:t>
      </w:r>
    </w:p>
    <w:p>
      <w:pPr/>
      <w:r>
        <w:rPr>
          <w:b/>
        </w:rPr>
        <w:t xml:space="preserve">In the Matter of:</w:t>
      </w:r>
    </w:p>
    <w:p>
      <w:pPr/>
      <w:r>
        <w:rPr/>
        <w:t xml:space="preserve">Todd Vincent Farney</w:t>
      </w:r>
    </w:p>
    <w:p>
      <w:pPr/>
      <w:r>
        <w:rPr/>
        <w:t xml:space="preserve">License No. [LICENSE NUMBER, IF KNOWN]</w:t>
      </w:r>
    </w:p>
    <w:p>
      <w:pPr/>
      <w:r>
        <w:rPr/>
        <w:t xml:space="preserve">101 Bass Drive, Columbia, Tennessee, 38401-2433</w:t>
      </w:r>
    </w:p>
    <w:p>
      <w:pPr/>
      <w:r>
        <w:rPr/>
        <w:t xml:space="preserve">NPI (public registry): 1336249143</w:t>
      </w:r>
    </w:p>
    <w:p>
      <w:pPr>
        <w:pStyle w:val="Heading1"/>
      </w:pPr>
      <w:r>
        <w:rPr/>
        <w:t xml:space="preserve">I. INTRODUCTION</w:t>
      </w:r>
    </w:p>
    <w:p>
      <w:pPr/>
      <w:r>
        <w:rPr/>
        <w:t xml:space="preserve">Complainant respectfully submits this complaint to the TENNESSEE BOARD OF CHIROPRACTIC EXAMINERS requesting formal investigation and regulatory review concerning Todd Vincent Farney (the Respondent), identified in the attached public materials.</w:t>
      </w:r>
    </w:p>
    <w:p>
      <w:pPr/>
      <w:r>
        <w:rPr/>
        <w:t xml:space="preserve">The public materials reviewed appear to present representations concerning the identification and management of health conditions, including Chronic Fatigue, Most chronic fatigue protocols do not work, Pycnogenol acts as an anti-diabetic agent, Digestive concerns like bloating, IBS, or reflux, Thyroid and adrenal dysfunction, and Autoimmune and inflammatory conditions. A chiropractic license in Tennessee covers the spine, joints and muscles. It does not cover diagnosing or treating these conditions.</w:t>
      </w:r>
    </w:p>
    <w:p>
      <w:pPr/>
      <w:r>
        <w:rPr/>
        <w:t xml:space="preserve">Public registry records associate the Respondent's licensure with Kansas, while the practice location described in the public materials is in Tennessee. This complaint is directed to the board for the state where the practice is publicly advertised. The licensing authority in Kansas may also accept a complaint concerning the same conduct.</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https://functionalhealthtn.com/, https://www.youtube.com/@dr.toddfarney3242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associated with Todd Vincent Farney appears to include the representations “Complex Chronic Illness,” “Digestive Health,” and “Immune System Support.”</w:t>
      </w:r>
    </w:p>
    <w:p>
      <w:pPr>
        <w:pStyle w:val="Heading2"/>
      </w:pPr>
      <w:r>
        <w:rPr/>
        <w:t xml:space="preserve">B. Scope of Practice Concerns</w:t>
      </w:r>
    </w:p>
    <w:p>
      <w:pPr/>
      <w:r>
        <w:rPr/>
        <w:t xml:space="preserve">Public content appears to address chronic fatigue, including the statements “Chronic Fatigue” and “Most chronic fatigue protocols do not work,” as well as diabetes, including “Pycnogenol acts as an anti-diabetic agent.” It also appears to address digestive concerns such as bloating, IBS, or reflux; thyroid and adrenal dysfunction; autoimmune and inflammatory conditions; and mold illness, including the phrase “Mold Illness: The Hidden Factor Behind Persistent Symptoms.” Public content further appears to address Functional Medicine, Complex Chronic Illness, Digestive Health, Immune System Support, and root-cause treatment for previously treatment-resistant cases. The reviewed materials describe a Tennessee chiropractic license as covering the spine, joints, and muscles, and state that it does not cover diagnosing or treating chronic fatigue and fibromyalgia, diabetes, IBS and gut disorders, thyroid disease and adrenal fatigue, autoimmune disease, or mold illness. The applicable licensing rules are described in the provided public-record review as suggesting that Functional Medicine, Complex Chronic Illness, Digestive Health, Immune System Support, and root-cause treatment for previously treatment-resistant cases may fall outside the D.C. scope in Tennessee.</w:t>
      </w:r>
    </w:p>
    <w:p>
      <w:pPr>
        <w:pStyle w:val="Heading2"/>
      </w:pPr>
      <w:r>
        <w:rPr/>
        <w:t xml:space="preserve">C.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PRACTICING BEYOND THE LAWFUL SCOPE OF CHIROPRACTIC</w:t>
      </w:r>
    </w:p>
    <w:p>
      <w:pPr/>
      <w:r>
        <w:rPr/>
        <w:t xml:space="preserve">Cited authority: T.C.A. Section 63-4-101 and Rule 0260-02-.02.</w:t>
      </w:r>
    </w:p>
    <w:p>
      <w:pPr/>
      <w:r>
        <w:rPr/>
        <w:t xml:space="preserve">The public materials described in the Statement of Facts above appear to address Chronic Fatigue, Most chronic fatigue protocols do not work, Pycnogenol acts as an anti-diabetic agent, Digestive concerns like bloating, IBS, or reflux, Thyroid and adrenal dysfunction, Autoimmune and inflammatory conditions, Mold Illness: The Hidden Factor Behind Persistent Symptoms, Functional Medicine, Complex Chronic Illness, Digestive Health, Immune System Support, and root-cause treatment for previously treatment-resistant cases, which the cited rule text suggests may fall outside the D.C. scope.</w:t>
      </w:r>
    </w:p>
    <w:p>
      <w:pPr/>
      <w:r>
        <w:rPr/>
        <w:t xml:space="preserve">The conduct described above raises substantial concerns under T.C.A. Section 63-4-101 and Rule 0260-02-.02 and warrants Board investigation.</w:t>
      </w:r>
    </w:p>
    <w:p>
      <w:pPr>
        <w:pStyle w:val="Heading2"/>
      </w:pPr>
      <w:r>
        <w:rPr/>
        <w:t xml:space="preserve">COUNT II: DECEPTIVE AND MISLEADING CONDUCT</w:t>
      </w:r>
    </w:p>
    <w:p>
      <w:pPr/>
      <w:r>
        <w:rPr/>
        <w:t xml:space="preserve">Cited authority: Rule 0260-02-.13(1) and T.C.A. Section 63-1-123.</w:t>
      </w:r>
    </w:p>
    <w:p>
      <w:pPr/>
      <w:r>
        <w:rPr/>
        <w:t xml:space="preserve">The public representations described above appear capable of conveying to consumers a level of clinical authority beyond the licensed scope.</w:t>
      </w:r>
    </w:p>
    <w:p>
      <w:pPr/>
      <w:r>
        <w:rPr/>
        <w:t xml:space="preserve">The conduct described above raises substantial concerns under Rule 0260-02-.13(1) and T.C.A. Section 63-1-123 and warrants Board investigation.</w:t>
      </w:r>
    </w:p>
    <w:p>
      <w:pPr>
        <w:pStyle w:val="Heading2"/>
      </w:pPr>
      <w:r>
        <w:rPr/>
        <w:t xml:space="preserve">COUNT III: MISREPRESENTATION OF PROFESSIONAL STATUS AND TITLE</w:t>
      </w:r>
    </w:p>
    <w:p>
      <w:pPr/>
      <w:r>
        <w:rPr/>
        <w:t xml:space="preserve">Cited authority: Rule 0260-02-.03.</w:t>
      </w:r>
    </w:p>
    <w:p>
      <w:pPr/>
      <w:r>
        <w:rPr/>
        <w:t xml:space="preserve">The public marketing representations and testimonials described above appear to present the practice's services without consistently identifying the limits of the D.C. scope or the practitioner's credentials.</w:t>
      </w:r>
    </w:p>
    <w:p>
      <w:pPr/>
      <w:r>
        <w:rPr/>
        <w:t xml:space="preserve">The conduct described above raises substantial concerns under Rule 0260-02-.03 and warrants Board investigation.</w:t>
      </w:r>
    </w:p>
    <w:p>
      <w:pPr>
        <w:pStyle w:val="Heading2"/>
      </w:pPr>
      <w:r>
        <w:rPr/>
        <w:t xml:space="preserve">COUNT IV: EXCESSIVE EXAMINATIONS AND TREATMENT</w:t>
      </w:r>
    </w:p>
    <w:p>
      <w:pPr/>
      <w:r>
        <w:rPr/>
        <w:t xml:space="preserve">Cited authority: Rule 0260-02-.13(5) and 0260-02-.13(6).</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Rule 0260-02-.13(5) and 0260-02-.13(6) and warrants Board investigation.</w:t>
      </w:r>
    </w:p>
    <w:p>
      <w:pPr>
        <w:pStyle w:val="Heading2"/>
      </w:pPr>
      <w:r>
        <w:rPr/>
        <w:t xml:space="preserve">COUNT V: USE OF UNLICENSED ASSISTANTS</w:t>
      </w:r>
    </w:p>
    <w:p>
      <w:pPr/>
      <w:r>
        <w:rPr/>
        <w:t xml:space="preserve">Cited authority: Rule 0260-02-.13(9).</w:t>
      </w:r>
    </w:p>
    <w:p>
      <w:pPr/>
      <w:r>
        <w:rPr/>
        <w:t xml:space="preserve">The conduct described above raises substantial concerns under Rule 0260-02-.13(9)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r>
        <w:rPr/>
        <w:t xml:space="preserve">6. Public registry records also associate the licensure with Kansas; consider sending a copy of this complaint to that state's board as well.</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https://apps.health.tn.gov/Licensure/</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https://functionalhealthtn.com/</w:t>
            </w:r>
          </w:p>
        </w:tc>
        <w:tc>
          <w:tcPr>
            <w:tcW w:w="0" w:type="auto"/>
          </w:tcPr>
          <w:p>
            <w:pPr/>
            <w:r>
              <w:rPr/>
              <w:t xml:space="preserve">https://web.archive.org/web/20260702193615/https://www.functionalhealthtn.com/ (captured 2026070219)</w:t>
            </w:r>
          </w:p>
        </w:tc>
      </w:tr>
      <w:tr>
        <w:tc>
          <w:tcPr>
            <w:tcW w:w="0" w:type="auto"/>
          </w:tcPr>
          <w:p>
            <w:pPr/>
            <w:r>
              <w:rPr/>
              <w:t xml:space="preserve">Exhibit C</w:t>
            </w:r>
          </w:p>
        </w:tc>
        <w:tc>
          <w:tcPr>
            <w:tcW w:w="0" w:type="auto"/>
          </w:tcPr>
          <w:p>
            <w:pPr/>
            <w:r>
              <w:rPr/>
              <w:t xml:space="preserve">Additional public channel or post</w:t>
            </w:r>
          </w:p>
        </w:tc>
        <w:tc>
          <w:tcPr>
            <w:tcW w:w="0" w:type="auto"/>
          </w:tcPr>
          <w:p>
            <w:pPr/>
            <w:r>
              <w:rPr/>
              <w:t xml:space="preserve">https://www.youtube.com/@dr.toddfarney3242</w:t>
            </w:r>
          </w:p>
        </w:tc>
        <w:tc>
          <w:tcPr>
            <w:tcW w:w="0" w:type="auto"/>
          </w:tcPr>
          <w:p>
            <w:pPr/>
            <w:r>
              <w:rPr/>
              <w:t xml:space="preserve">[attach a printed, dated capture]</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