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Shirin Gulledge</w:t>
      </w:r>
    </w:p>
    <w:p>
      <w:pPr/>
      <w:r>
        <w:rPr/>
        <w:t xml:space="preserve">License No. [LICENSE NUMBER, IF KNOWN]</w:t>
      </w:r>
    </w:p>
    <w:p>
      <w:pPr/>
      <w:r>
        <w:rPr/>
        <w:t xml:space="preserve">11879 W 112th St Suite 100, Overland Park, Kansas, 66210</w:t>
      </w:r>
    </w:p>
    <w:p>
      <w:pPr/>
      <w:r>
        <w:rPr/>
        <w:t xml:space="preserve">NPI (public registry): 1275676371</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Shirin Gulledge (the Respondent), identified in the attached public materials.</w:t>
      </w:r>
    </w:p>
    <w:p>
      <w:pPr/>
      <w:r>
        <w:rPr/>
        <w:t xml:space="preserve">The public materials reviewed appear to present representations concerning the identification and management of health conditions, including we are experts at diagnosing, managing and treating this, pain relief care, acupuncture, weight loss services, promotes weight loss services as part of the clinic's medical-style offering, and pairs chiropractic with acupuncture and rehabilitative care in a broader treatment bundle, that may extend beyond the D.C. scope in Kansas.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https://www.truehealthkc.com/, https://us.fullscript.com/welcome/truehealthkc and the public registry and license verification sources listed in the exhibit index below.</w:t>
      </w:r>
    </w:p>
    <w:p>
      <w:pPr>
        <w:pStyle w:val="Heading1"/>
      </w:pPr>
      <w:r>
        <w:rPr/>
        <w:t xml:space="preserve">II. STATEMENT OF FACTS</w:t>
      </w:r>
    </w:p>
    <w:p>
      <w:pPr>
        <w:pStyle w:val="Heading2"/>
      </w:pPr>
      <w:r>
        <w:rPr/>
        <w:t xml:space="preserve">A. Licensure and Business Operations</w:t>
      </w:r>
    </w:p>
    <w:p>
      <w:pPr/>
      <w:r>
        <w:rPr/>
        <w:t xml:space="preserve">Public materials state the credentials CHIROPRACTOR, and the public registry record lists D.C. for Shirin Gulledge.</w:t>
      </w:r>
    </w:p>
    <w:p>
      <w:pPr>
        <w:pStyle w:val="Heading2"/>
      </w:pPr>
      <w:r>
        <w:rPr/>
        <w:t xml:space="preserve">B. Public Marketing Representations</w:t>
      </w:r>
    </w:p>
    <w:p>
      <w:pPr/>
      <w:r>
        <w:rPr/>
        <w:t xml:space="preserve">Publicly posted content appears to make the following representations, "we are experts at diagnosing, managing and treating this," "pain relief care," "acupuncture," and "weight loss services."</w:t>
      </w:r>
    </w:p>
    <w:p>
      <w:pPr>
        <w:pStyle w:val="Heading2"/>
      </w:pPr>
      <w:r>
        <w:rPr/>
        <w:t xml:space="preserve">C. Scope of Practice Concerns</w:t>
      </w:r>
    </w:p>
    <w:p>
      <w:pPr/>
      <w:r>
        <w:rPr/>
        <w:t xml:space="preserve">Public content appears to address "we are experts at diagnosing, managing and treating this," pain relief care, acupuncture, and weight loss services, and also appears to promote weight loss services as part of the clinic's medical-style offering. Public content further appears to pair chiropractic with acupuncture and rehabilitative care in a broader treatment bundle, which the cited rule text suggests may fall outside the D.C. scope in Kansas, and the cited rule treats this as a gray area.</w:t>
      </w:r>
    </w:p>
    <w:p>
      <w:pPr>
        <w:pStyle w:val="Heading2"/>
      </w:pPr>
      <w:r>
        <w:rPr/>
        <w:t xml:space="preserve">D. Storefront and Product Sales</w:t>
      </w:r>
    </w:p>
    <w:p>
      <w:pPr/>
      <w:r>
        <w:rPr/>
        <w:t xml:space="preserve">Public materials appear to link to Fullscript for supplements, and the vendor's public materials describe provider compensation for such links.</w:t>
      </w:r>
    </w:p>
    <w:p>
      <w:pPr>
        <w:pStyle w:val="Heading2"/>
      </w:pPr>
      <w:r>
        <w:rPr/>
        <w:t xml:space="preserve">E.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we are experts at diagnosing, managing and treating this, pain relief care, acupuncture, weight loss services, promotes weight loss services as part of the clinic's medical-style offering, and pairs chiropractic with acupuncture and rehabilitative care in a broader treatment bundle,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consultation and product-sales structure described above appears to tie the health-related representations to paid consultations, care plans, and product sales offered to the same audience.</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https://www.truehealthkc.com/</w:t>
            </w:r>
          </w:p>
        </w:tc>
        <w:tc>
          <w:tcPr>
            <w:tcW w:w="0" w:type="auto"/>
          </w:tcPr>
          <w:p>
            <w:pPr/>
            <w:r>
              <w:rPr/>
              <w:t xml:space="preserve">[attach a printed, dated capture]</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https://us.fullscript.com/welcome/truehealthkc</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