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Sarah Drake</w:t>
      </w:r>
    </w:p>
    <w:p>
      <w:pPr/>
      <w:r>
        <w:rPr/>
        <w:t xml:space="preserve">License No. [LICENSE NUMBER, IF KNOWN]</w:t>
      </w:r>
    </w:p>
    <w:p>
      <w:pPr/>
      <w:r>
        <w:rPr/>
        <w:t xml:space="preserve">Drake Chiropractic</w:t>
      </w:r>
    </w:p>
    <w:p>
      <w:pPr/>
      <w:r>
        <w:rPr/>
        <w:t xml:space="preserve">913-708-0867 LOCATION 2722 N 155th Street, Basehor, Kansas, 66007</w:t>
      </w:r>
    </w:p>
    <w:p>
      <w:pPr/>
      <w:r>
        <w:rPr/>
        <w:t xml:space="preserve">NPI (public registry): 1871974675</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Sarah Drake (the Respondent), practicing through Drake Chiropractic, 913-708-0867 LOCATION 2722 N 155th Street, Basehor, Kansas, 66007.</w:t>
      </w:r>
    </w:p>
    <w:p>
      <w:pPr/>
      <w:r>
        <w:rPr/>
        <w:t xml:space="preserve">The public materials reviewed appear to present representations concerning the identification and management of health conditions, including Dealing with inflammation or autoimmune tendencies, Implying treatment for chronic fatigue and systemic inflammation, When this area is misaligned, it can trigger a cascade of nervous system dysfunction, functional lab testing, food sensitivity evaluations, and dry needling, that may extend beyond the DC scope in Kansas.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http://www.drakechiroandrehab.com/ and the public registry and license verification sources listed in the exhibit index below.</w:t>
      </w:r>
    </w:p>
    <w:p>
      <w:pPr>
        <w:pStyle w:val="Heading1"/>
      </w:pPr>
      <w:r>
        <w:rPr/>
        <w:t xml:space="preserve">II. STATEMENT OF FACTS</w:t>
      </w:r>
    </w:p>
    <w:p>
      <w:pPr>
        <w:pStyle w:val="Heading2"/>
      </w:pPr>
      <w:r>
        <w:rPr/>
        <w:t xml:space="preserve">A. Licensure and Business Operations</w:t>
      </w:r>
    </w:p>
    <w:p>
      <w:pPr/>
      <w:r>
        <w:rPr/>
        <w:t xml:space="preserve">Public materials state the credentials DR, Chiropractor (DC), and the public registry record lists DC.</w:t>
      </w:r>
    </w:p>
    <w:p>
      <w:pPr>
        <w:pStyle w:val="Heading2"/>
      </w:pPr>
      <w:r>
        <w:rPr/>
        <w:t xml:space="preserve">B. Scope of Practice Concerns</w:t>
      </w:r>
    </w:p>
    <w:p>
      <w:pPr/>
      <w:r>
        <w:rPr/>
        <w:t xml:space="preserve">Public content appears to address dealing with inflammation or autoimmune tendencies, implying treatment for chronic fatigue and systemic inflammation, and stating that when this area is misaligned, it can trigger a cascade of nervous system dysfunction, all of which the cited rule text suggests may fall outside the DC scope in Kansas. Public content also appears to address functional lab testing, food sensitivity evaluations, dry needling, Graston Technique, kinesiotaping, and diagnosing internal symptoms with functional lab testing and food sensitivity evaluations, which the cited rule text suggests may fall outside the DC scope in Kansas. Public content further appears to address Upper Cervical Specific care for migraines, vertigo, neurological concerns, and fatigue, as well as pediatric chiropractic for colic, reflux, ear infections, and developmental delays, which the cited rule text suggests may fall outside the DC scope in Kansas, and the cited rule treats these as gray areas.</w:t>
      </w:r>
    </w:p>
    <w:p>
      <w:pPr>
        <w:pStyle w:val="Heading2"/>
      </w:pPr>
      <w:r>
        <w:rPr/>
        <w:t xml:space="preserve">C.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Dealing with inflammation or autoimmune tendencies, Implying treatment for chronic fatigue and systemic inflammation, When this area is misaligned, it can trigger a cascade of nervous system dysfunction, functional lab testing, food sensitivity evaluations, dry needling, Graston Technique, kinesiotaping, Diagnosing internal symptoms with functional lab testing and food sensitivity evaluations, Upper Cervical Specific care for migraines, vertigo, neurological concerns, and fatigue, and Pediatric chiropractic for colic, reflux, ear infections, developmental delays, which the cited rule text suggests may fall outside the DC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public representations described above appear capable of conveying to consumers a level of clinical authority beyond the licensed scope. The stated credentials also appear to differ from the credential listed in the public registry record.</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http://www.drakechiroandrehab.com/</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