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South Carolina. It is not legal advice.</w:t>
      </w:r>
    </w:p>
    <w:p>
      <w:pPr>
        <w:jc w:val="center"/>
      </w:pPr>
      <w:r>
        <w:rPr>
          <w:b/>
        </w:rPr>
        <w:t xml:space="preserve">SOUTH CAROLINA BOARD OF CHIROPRACTIC EXAMINERS</w:t>
      </w:r>
    </w:p>
    <w:p>
      <w:pPr>
        <w:jc w:val="center"/>
      </w:pPr>
      <w:r>
        <w:rPr>
          <w:b/>
        </w:rPr>
        <w:t xml:space="preserve">SOUTH CAROLINA DEPARTMENT OF LABOR, LICENSING AND REGULATION</w:t>
      </w:r>
    </w:p>
    <w:p>
      <w:pPr>
        <w:pStyle w:val="Heading1"/>
        <w:jc w:val="center"/>
      </w:pPr>
      <w:r>
        <w:rPr/>
        <w:t xml:space="preserve">FORMAL COMPLAINT REQUESTING INVESTIGATION AND REVIEW</w:t>
      </w:r>
    </w:p>
    <w:p>
      <w:pPr/>
      <w:r>
        <w:rPr>
          <w:b/>
        </w:rPr>
        <w:t xml:space="preserve">In the Matter of:</w:t>
      </w:r>
    </w:p>
    <w:p>
      <w:pPr/>
      <w:r>
        <w:rPr/>
        <w:t xml:space="preserve">Arthur Elliot Hirshorn</w:t>
      </w:r>
    </w:p>
    <w:p>
      <w:pPr/>
      <w:r>
        <w:rPr/>
        <w:t xml:space="preserve">License No. [LICENSE NUMBER, IF KNOWN]</w:t>
      </w:r>
    </w:p>
    <w:p>
      <w:pPr/>
      <w:r>
        <w:rPr/>
        <w:t xml:space="preserve">New Life Health</w:t>
      </w:r>
    </w:p>
    <w:p>
      <w:pPr/>
      <w:r>
        <w:rPr/>
        <w:t xml:space="preserve">56 Pointe, Circle Greenville, South Carolina, 29615</w:t>
      </w:r>
    </w:p>
    <w:p>
      <w:pPr/>
      <w:r>
        <w:rPr/>
        <w:t xml:space="preserve">NPI (public registry): 1174867386</w:t>
      </w:r>
    </w:p>
    <w:p>
      <w:pPr>
        <w:pStyle w:val="Heading1"/>
      </w:pPr>
      <w:r>
        <w:rPr/>
        <w:t xml:space="preserve">I. INTRODUCTION</w:t>
      </w:r>
    </w:p>
    <w:p>
      <w:pPr/>
      <w:r>
        <w:rPr/>
        <w:t xml:space="preserve">Complainant respectfully submits this complaint to the SOUTH CAROLINA BOARD OF CHIROPRACTIC EXAMINERS requesting formal investigation and regulatory review concerning Arthur Elliot Hirshorn (the Respondent), practicing through New Life Health, 56 Pointe, Circle Greenville, South Carolina, 29615.</w:t>
      </w:r>
    </w:p>
    <w:p>
      <w:pPr/>
      <w:r>
        <w:rPr/>
        <w:t xml:space="preserve">The public materials reviewed appear to present representations concerning the identification and management of health conditions, including Thyroid consultation service, 24-Pattern Thyroid Dysfunction Taxonomy, 85-Marker Comprehensive Lab Panel, and Root Cause Personalized Plan, that may extend beyond the DC, DACNB scope in South Carolina.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https://www.youtube.com/watch?v=sGFk9T8Ee4Y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Thyroid consultation service, which the cited rule text suggests may fall outside the DC, DACNB scope in South Carolina. Public content appears to address 24-Pattern Thyroid Dysfunction Taxonomy, which the cited rule text suggests may fall outside the DC, DACNB scope in South Carolina. Public content appears to address 85-Marker Comprehensive Lab Panel, which the cited rule text suggests may fall outside the DC, DACNB scope in South Carolina. Public content appears to address Root Cause Personalized Plan, which the cited rule text suggests may fall outside the DC, DACNB scope in South Carolina.</w:t>
      </w:r>
    </w:p>
    <w:p>
      <w:pPr>
        <w:pStyle w:val="Heading2"/>
      </w:pPr>
      <w:r>
        <w:rPr/>
        <w:t xml:space="preserve">B. Marketing</w:t>
      </w:r>
    </w:p>
    <w:p>
      <w:pPr/>
      <w:r>
        <w:rPr/>
        <w:t xml:space="preserve">Publicly posted content appears to make the following representation. QUOTE: "At New Life Health, we understand that there are 24 different patterns of thyroid dysfunction." Publicly posted content appears to make the following representation. QUOTE: "for over 80% of people struggling with thyroid-related symptoms, there's often an autoimmune component, meaning your thyroid may not actually be the root problem. Your immune system may be attacking your thyroid" Publicly posted content appears to make the following representation. QUOTE: "We start with a comprehensive panel of over 85 markers, including 10 thyroid-specific markers" Publicly posted content appears to make the following representation. QUOTE: "schedule your thyroid consultation with our expert team"</w:t>
      </w:r>
    </w:p>
    <w:p>
      <w:pPr>
        <w:pStyle w:val="Heading2"/>
      </w:pPr>
      <w:r>
        <w:rPr/>
        <w:t xml:space="preserve">C. Clinical Frameworks</w:t>
      </w:r>
    </w:p>
    <w:p>
      <w:pPr/>
      <w:r>
        <w:rPr/>
        <w:t xml:space="preserve">Public content appears to address Thyroid consultation service, which the cited rule text suggests may fall outside the DC, DACNB scope in South Carolina. Public content appears to address 24-Pattern Thyroid Dysfunction Taxonomy, which the cited rule text suggests may fall outside the DC, DACNB scope in South Carolina. Public content appears to address 85-Marker Comprehensive Lab Panel, which the cited rule text suggests may fall outside the DC, DACNB scope in South Carolina. Public content appears to address Root Cause Personalized Plan, which the cited rule text suggests may fall outside the DC, DACNB scope in South Carolina.</w:t>
      </w:r>
    </w:p>
    <w:p>
      <w:pPr>
        <w:pStyle w:val="Heading2"/>
      </w:pPr>
      <w:r>
        <w:rPr/>
        <w:t xml:space="preserve">D. Funnel</w:t>
      </w:r>
    </w:p>
    <w:p>
      <w:pPr/>
      <w:r>
        <w:rPr/>
        <w:t xml:space="preserve">Public materials appear to describe the following consultation and monetization structure: Kickback/affiliate signals on 2 source(s).</w:t>
      </w:r>
    </w:p>
    <w:p>
      <w:pPr>
        <w:pStyle w:val="Heading2"/>
      </w:pPr>
      <w:r>
        <w:rPr/>
        <w:t xml:space="preserve">E. Storefront</w:t>
      </w:r>
    </w:p>
    <w:p>
      <w:pPr/>
      <w:r>
        <w:rPr/>
        <w:t xml:space="preserve">Public materials appear to describe the following consultation and monetization structure: Kickback/affiliate signals on 2 source(s).</w:t>
      </w:r>
    </w:p>
    <w:p>
      <w:pPr>
        <w:pStyle w:val="Heading2"/>
      </w:pPr>
      <w:r>
        <w:rPr/>
        <w:t xml:space="preserve">F. Testimonials</w:t>
      </w:r>
    </w:p>
    <w:p>
      <w:pPr/>
      <w:r>
        <w:rPr/>
        <w:t xml:space="preserve">Public materials appear to describe the following consultation and monetization structure: Kickback/affiliate signals on 2 source(s).</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REPRESENTATIONS EXCEEDING THE CHIROPRACTIC SCOPE</w:t>
      </w:r>
    </w:p>
    <w:p>
      <w:pPr/>
      <w:r>
        <w:rPr/>
        <w:t xml:space="preserve">Cited authority: S.C. Code Ann. Section 40-9-10 et seq. and S.C. Code Regs. Section 25-6(B).</w:t>
      </w:r>
    </w:p>
    <w:p>
      <w:pPr/>
      <w:r>
        <w:rPr/>
        <w:t xml:space="preserve">The public materials described in the Statement of Facts above appear to address Thyroid consultation service, 24-Pattern Thyroid Dysfunction Taxonomy, 85-Marker Comprehensive Lab Panel, and Root Cause Personalized Plan, which the cited rule text suggests may fall outside the DC, DACNB scope.</w:t>
      </w:r>
    </w:p>
    <w:p>
      <w:pPr/>
      <w:r>
        <w:rPr/>
        <w:t xml:space="preserve">The conduct described above raises substantial concerns under S.C. Code Ann. Section 40-9-10 et seq. and S.C. Code Regs. Section 25-6(B) and warrants Board investigation.</w:t>
      </w:r>
    </w:p>
    <w:p>
      <w:pPr>
        <w:pStyle w:val="Heading2"/>
      </w:pPr>
      <w:r>
        <w:rPr/>
        <w:t xml:space="preserve">COUNT II: UNPROFESSIONAL CONDUCT AND DEPARTURE FROM PREVAILING PRACTICE</w:t>
      </w:r>
    </w:p>
    <w:p>
      <w:pPr/>
      <w:r>
        <w:rPr/>
        <w:t xml:space="preserve">Cited authority: S.C. Code Ann. Section 40-9-110 and S.C. Code Regs. Section 25-6(B)(3), (10).</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S.C. Code Ann. Section 40-9-110 and S.C. Code Regs. Section 25-6(B)(3), (10) and warrants Board investigation.</w:t>
      </w:r>
    </w:p>
    <w:p>
      <w:pPr>
        <w:pStyle w:val="Heading2"/>
      </w:pPr>
      <w:r>
        <w:rPr/>
        <w:t xml:space="preserve">COUNT III: ADVERTISING CREATING UNJUSTIFIED EXPECTATIONS</w:t>
      </w:r>
    </w:p>
    <w:p>
      <w:pPr/>
      <w:r>
        <w:rPr/>
        <w:t xml:space="preserve">Cited authority: S.C. Code Regs. Section 25-8.</w:t>
      </w:r>
    </w:p>
    <w:p>
      <w:pPr/>
      <w:r>
        <w:rPr/>
        <w:t xml:space="preserve">The public marketing representations and testimonials described above appear to present the practice's services without consistently identifying the limits of the DC, DACNB scope or the practitioner's credentials.</w:t>
      </w:r>
    </w:p>
    <w:p>
      <w:pPr/>
      <w:r>
        <w:rPr/>
        <w:t xml:space="preserve">The conduct described above raises substantial concerns under S.C. Code Regs. Section 25-8 and warrants Board investigation.</w:t>
      </w:r>
    </w:p>
    <w:p>
      <w:pPr>
        <w:pStyle w:val="Heading2"/>
      </w:pPr>
      <w:r>
        <w:rPr/>
        <w:t xml:space="preserve">COUNT IV: COMMERCIALIZATION AND INTEGRATED WELLNESS CONCERNS</w:t>
      </w:r>
    </w:p>
    <w:p>
      <w:pPr/>
      <w:r>
        <w:rPr/>
        <w:t xml:space="preserve">Cited authority: S.C. Code Regs. Section 25-6(B)(3), (10) and Section 25-8.</w:t>
      </w:r>
    </w:p>
    <w:p>
      <w:pPr/>
      <w:r>
        <w:rPr/>
        <w:t xml:space="preserve">The consultation and product-sales structure described above appears to tie the health-related representations to paid consultations, care plans, and product sales offered to the same audience.</w:t>
      </w:r>
    </w:p>
    <w:p>
      <w:pPr/>
      <w:r>
        <w:rPr/>
        <w:t xml:space="preserve">The conduct described above raises substantial concerns under S.C. Code Regs. Section 25-6(B)(3), (10) and Section 25-8 and warrants Board investigation.</w:t>
      </w:r>
    </w:p>
    <w:p>
      <w:pPr>
        <w:pStyle w:val="Heading2"/>
      </w:pPr>
      <w:r>
        <w:rPr/>
        <w:t xml:space="preserve">COUNT V: RECORDKEEPING AND DOCUMENTATION</w:t>
      </w:r>
    </w:p>
    <w:p>
      <w:pPr/>
      <w:r>
        <w:rPr/>
        <w:t xml:space="preserve">Cited authority: S.C. Code Regs. Section 25-6.</w:t>
      </w:r>
    </w:p>
    <w:p>
      <w:pPr/>
      <w:r>
        <w:rPr/>
        <w:t xml:space="preserve">The conduct described above raises substantial concerns under S.C. Code Regs. Section 25-6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https://verify.llronline.com/LicLookup/</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https://www.youtube.com/watch?v=sGFk9T8Ee4Y</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