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Julia Morgan</w:t>
      </w:r>
    </w:p>
    <w:p>
      <w:pPr/>
      <w:r>
        <w:rPr/>
        <w:t xml:space="preserve">License No. [LICENSE NUMBER, IF KNOWN]</w:t>
      </w:r>
    </w:p>
    <w:p>
      <w:pPr/>
      <w:r>
        <w:rPr/>
        <w:t xml:space="preserve">Muscle Recovery And Rehabilitation</w:t>
      </w:r>
    </w:p>
    <w:p>
      <w:pPr/>
      <w:r>
        <w:rPr/>
        <w:t xml:space="preserve">NPI (public registry): 1871039164</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Julia Morgan (the Respondent), practicing through Muscle Recovery And Rehabilitation.</w:t>
      </w:r>
    </w:p>
    <w:p>
      <w:pPr/>
      <w:r>
        <w:rPr/>
        <w:t xml:space="preserve">The public materials reviewed appear to present representations concerning the identification and management of health conditions, including Root-cause pain diagnosis rhetoric and Kettlebell coaching presented as medicine, that may extend beyond the D.C. scope in Kansas.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https://www.juliamorgandc.com/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representation, "we'll set a personalized plan to achieve your goals, whether it's recovery, strengthening, or learning kettlebell skills." Publicly posted content also appears to make the representations, "Sports Chiropractic, Functional Movement &amp; Rehabilitation," "identifying the root cause of pain," and "I'm also a kettlebell coach who uses movement as medicine for improved function."</w:t>
      </w:r>
    </w:p>
    <w:p>
      <w:pPr>
        <w:pStyle w:val="Heading2"/>
      </w:pPr>
      <w:r>
        <w:rPr/>
        <w:t xml:space="preserve">B. Scope of Practice Concerns</w:t>
      </w:r>
    </w:p>
    <w:p>
      <w:pPr/>
      <w:r>
        <w:rPr/>
        <w:t xml:space="preserve">Public content appears to address root-cause pain diagnosis rhetoric, which the cited rule text suggests may fall outside the D.C. scope in Kansas. Public content also appears to address kettlebell coaching presented as medicine, which the cited rule text suggests may fall outside the D.C. scope in Kansas.</w:t>
      </w:r>
    </w:p>
    <w:p>
      <w:pPr>
        <w:pStyle w:val="Heading2"/>
      </w:pPr>
      <w:r>
        <w:rPr/>
        <w:t xml:space="preserve">C. Consultation and Monetization Structure</w:t>
      </w:r>
    </w:p>
    <w:p>
      <w:pPr/>
      <w:r>
        <w:rPr/>
        <w:t xml:space="preserve">Public materials appear to describe the following consultation and monetization structure: Kickback/affiliate signals on 2 source(s). Open Payments (Sunshine Act) records industry payments totaling about $8,382.</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Root-cause pain diagnosis rhetoric and Kettlebell coaching presented as medicine,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https://www.juliamorgandc.com/</w:t>
            </w:r>
          </w:p>
        </w:tc>
        <w:tc>
          <w:tcPr>
            <w:tcW w:w="0" w:type="auto"/>
          </w:tcPr>
          <w:p>
            <w:pPr/>
            <w:r>
              <w:rPr/>
              <w:t xml:space="preserve">https://web.archive.org/web/20260514173306/https://www.juliamorgandc.com/ (captured 2026051417)</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