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Julia Morgan</w:t>
      </w:r>
    </w:p>
    <w:p>
      <w:pPr/>
      <w:r>
        <w:rPr/>
        <w:t xml:space="preserve">License No. [LICENSE NUMBER, IF KNOWN]</w:t>
      </w:r>
    </w:p>
    <w:p>
      <w:pPr/>
      <w:r>
        <w:rPr/>
        <w:t xml:space="preserve">Muscle Recovery And Rehabilitation</w:t>
      </w:r>
    </w:p>
    <w:p>
      <w:pPr/>
      <w:r>
        <w:rPr/>
        <w:t xml:space="preserve">NPI (public registry): 1871039164</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Julia Morgan (the Respondent), practicing through Muscle Recovery And Rehabilitation.</w:t>
      </w:r>
    </w:p>
    <w:p>
      <w:pPr/>
      <w:r>
        <w:rPr/>
        <w:t xml:space="preserve">The public materials reviewed appear to present representations concerning the identification and management of health conditions, including Kettlebell coaching presented as medicine, that may extend beyond the D.C. scope in Kansas.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https://www.juliamorgandc.com/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Julia Morgan appears to describe services as “Sports Chiropractic, Functional Movement &amp; Rehabilitation” and to represent that the practice is focused on “identifying the root cause of pain.”</w:t>
      </w:r>
    </w:p>
    <w:p>
      <w:pPr>
        <w:pStyle w:val="Heading2"/>
      </w:pPr>
      <w:r>
        <w:rPr/>
        <w:t xml:space="preserve">B. Scope of Practice Concerns</w:t>
      </w:r>
    </w:p>
    <w:p>
      <w:pPr/>
      <w:r>
        <w:rPr/>
        <w:t xml:space="preserve">Public content appears to address Kettlebell coaching presented as medicine, which may fall outside the scope associated with a D.C. credential in Kansas under the applicable licensing rules.</w:t>
      </w:r>
    </w:p>
    <w:p>
      <w:pPr>
        <w:pStyle w:val="Heading2"/>
      </w:pPr>
      <w:r>
        <w:rPr/>
        <w:t xml:space="preserve">C. Consultation and Monetization Structure</w:t>
      </w:r>
    </w:p>
    <w:p>
      <w:pPr/>
      <w:r>
        <w:rPr/>
        <w:t xml:space="preserve">Public materials appear to indicate kickback or affiliate signals on two sources.</w:t>
      </w:r>
    </w:p>
    <w:p>
      <w:pPr>
        <w:pStyle w:val="Heading2"/>
      </w:pPr>
      <w:r>
        <w:rPr/>
        <w:t xml:space="preserve">D. Public Testimonials</w:t>
      </w:r>
    </w:p>
    <w:p>
      <w:pPr/>
      <w:r>
        <w:rPr/>
        <w:t xml:space="preserve">A publicly posted testimonial appears to describe diagnosis-level evaluation or treatment outcomes, stating, “I call Dr. Julia my magic pill.”</w:t>
      </w:r>
    </w:p>
    <w:p>
      <w:pPr>
        <w:pStyle w:val="Heading2"/>
      </w:pPr>
      <w:r>
        <w:rPr/>
        <w:t xml:space="preserve">E.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Kettlebell coaching presented as medicine, which the cited rule text suggests may fall outside the D.C. scope.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consultation and product-sales structure described above appears to tie the health-related representations to paid consultations, care plans, and product sales offered to the same audience.</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https://www.juliamorgandc.com/</w:t>
            </w:r>
          </w:p>
        </w:tc>
        <w:tc>
          <w:tcPr>
            <w:tcW w:w="0" w:type="auto"/>
          </w:tcPr>
          <w:p>
            <w:pPr/>
            <w:r>
              <w:rPr/>
              <w:t xml:space="preserve">https://web.archive.org/web/20260514173306/https://www.juliamorgandc.com/ (captured 2026051417)</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