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Kristine Edgren</w:t>
      </w:r>
    </w:p>
    <w:p>
      <w:pPr/>
      <w:r>
        <w:rPr/>
        <w:t xml:space="preserve">License No. [LICENSE NUMBER, IF KNOWN]</w:t>
      </w:r>
    </w:p>
    <w:p>
      <w:pPr/>
      <w:r>
        <w:rPr/>
        <w:t xml:space="preserve">Root Function Health</w:t>
      </w:r>
    </w:p>
    <w:p>
      <w:pPr/>
      <w:r>
        <w:rPr/>
        <w:t xml:space="preserve">325 E Main Street, Suite C, Gardner, Kansas, 66030</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Kristine Edgren (the Respondent), practicing through Root Function Health, 325 E Main Street, Suite C, Gardner, Kansas, 66030.</w:t>
      </w:r>
    </w:p>
    <w:p>
      <w:pPr/>
      <w:r>
        <w:rPr/>
        <w:t xml:space="preserve">The public materials reviewed appear to present representations concerning the identification and management of health conditions, including chronic fatigue, autoimmune conditions, Osteoporosis: It Is Not Just About Calcium, advanced diagnostic testing for chronic fatigue, digestive issues, hormonal imbalances, functional medicine, and advanced diagnostic testing, that may extend beyond the Chiropractor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https://rootfunctionhealth.com/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Publicly available content appears to address chronic fatigue, autoimmune conditions, and osteoporosis in the form of “Osteoporosis: It Is Not Just About Calcium,” and the cited rule text suggests these subjects may fall outside the Chiropractor scope in Kansas. Public content also appears to address advanced diagnostic testing for chronic fatigue, digestive issues, and hormonal imbalances, as well as advanced diagnostic testing more generally, and the cited rule text suggests these topics may fall outside the Chiropractor scope in Kansas. Publicly available materials further appear to address functional medicine, hyperbaric oxygen therapy, nutritional support, dry needling, prenatal care, pediatric care, and functional nutrition, and the cited rule text suggests these topics may fall outside the Chiropractor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chronic fatigue, autoimmune conditions, Osteoporosis: It Is Not Just About Calcium, advanced diagnostic testing for chronic fatigue, digestive issues, hormonal imbalances, functional medicine, advanced diagnostic testing, hyperbaric oxygen therapy, nutritional support, dry needling, prenatal care, pediatric care, and functional nutrition, which the cited rule text suggests may fall outside the Chiropractor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https://rootfunctionhealth.com/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