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Kansas. It is not legal advice.</w:t>
      </w:r>
    </w:p>
    <w:p>
      <w:pPr>
        <w:jc w:val="center"/>
      </w:pPr>
      <w:r>
        <w:rPr>
          <w:b/>
        </w:rPr>
        <w:t xml:space="preserve">KANSAS STATE BOARD OF HEALING ARTS</w:t>
      </w:r>
    </w:p>
    <w:p>
      <w:pPr>
        <w:pStyle w:val="Heading1"/>
        <w:jc w:val="center"/>
      </w:pPr>
      <w:r>
        <w:rPr/>
        <w:t xml:space="preserve">FORMAL COMPLAINT REQUESTING INVESTIGATION AND REVIEW</w:t>
      </w:r>
    </w:p>
    <w:p>
      <w:pPr/>
      <w:r>
        <w:rPr>
          <w:b/>
        </w:rPr>
        <w:t xml:space="preserve">In the Matter of:</w:t>
      </w:r>
    </w:p>
    <w:p>
      <w:pPr/>
      <w:r>
        <w:rPr/>
        <w:t xml:space="preserve">Bradley Michael Woodle</w:t>
      </w:r>
    </w:p>
    <w:p>
      <w:pPr/>
      <w:r>
        <w:rPr/>
        <w:t xml:space="preserve">License No. [LICENSE NUMBER, IF KNOWN]</w:t>
      </w:r>
    </w:p>
    <w:p>
      <w:pPr/>
      <w:r>
        <w:rPr/>
        <w:t xml:space="preserve">6701 W. 121st Street, Suite 200, Overland Park, Kansas, 66209</w:t>
      </w:r>
    </w:p>
    <w:p>
      <w:pPr/>
      <w:r>
        <w:rPr/>
        <w:t xml:space="preserve">NPI (public registry): 1750307120</w:t>
      </w:r>
    </w:p>
    <w:p>
      <w:pPr>
        <w:pStyle w:val="Heading1"/>
      </w:pPr>
      <w:r>
        <w:rPr/>
        <w:t xml:space="preserve">I. INTRODUCTION</w:t>
      </w:r>
    </w:p>
    <w:p>
      <w:pPr/>
      <w:r>
        <w:rPr/>
        <w:t xml:space="preserve">Complainant respectfully submits this complaint to the Kansas State Board of Healing Arts requesting formal investigation and regulatory review concerning Bradley Michael Woodle (the Respondent), identified in the attached public materials.</w:t>
      </w:r>
    </w:p>
    <w:p>
      <w:pPr/>
      <w:r>
        <w:rPr/>
        <w:t xml:space="preserve">The public materials reviewed appear to present representations concerning the identification and management of health conditions, including Autism Spectrum, treating autoimmune conditions, treating digestive issues and IBS, Autoimmune Disorders, Fertility &amp; Infertility, and Fibromyalgia Disorder. A chiropractic license in Kansas covers the spine, joints and muscles. It does not cover diagnosing or treating these conditions. In their own published words, the Respondent presents themselves as qualified to treat, or gives advice on, children's conditions: autism. The public list this review uses, drtrustmebro.com/conditions, groups them under infants and children and names the pediatric clinician who treats each one.</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https://asfca.com/doctors/overland-park-doctors/dr-brad-m-woodle/, https://asfca.metagenics.com/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Publicly available content appears to address treating autoimmune conditions, digestive issues and IBS, Autoimmune Disorders, Autism Spectrum, Fertility and Infertility, Fibromyalgia Disorder, Menopause, Food Sensitivity Testing for autoimmune conditions, Functional Medicine, Food Sensitivity Testing, Nutritional Programs, and hormonal imbalances, which the cited rule text suggests may fall outside the DC scope in Kansas.</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Kansas Healing Arts Act, K.S.A. 65-2801 et seq. and K.S.A. 65-2836(g).</w:t>
      </w:r>
    </w:p>
    <w:p>
      <w:pPr/>
      <w:r>
        <w:rPr/>
        <w:t xml:space="preserve">The public materials described in the Statement of Facts above appear to address Autism Spectrum, treating autoimmune conditions, treating digestive issues and IBS, Autoimmune Disorders, Fertility &amp; Infertility, Fibromyalgia Disorder, Menopause, Food Sensitivity Testing for autoimmune conditions, Functional Medicine, Food Sensitivity Testing, Nutritional Programs, and treating hormonal imbalances, which the cited rule text suggests may fall outside the DC scope. In their own published words, the Respondent presents themselves as qualified to treat, or gives advice on, children's conditions: autism. The public list this review uses, drtrustmebro.com/conditions, groups them under infants and children and names the pediatric clinician who treats each one.</w:t>
      </w:r>
    </w:p>
    <w:p>
      <w:pPr/>
      <w:r>
        <w:rPr/>
        <w:t xml:space="preserve">The conduct described above raises substantial concerns under Kansas Healing Arts Act, K.S.A. 65-2801 et seq. and K.S.A. 65-2836(g) and warrants Board investigation.</w:t>
      </w:r>
    </w:p>
    <w:p>
      <w:pPr>
        <w:pStyle w:val="Heading2"/>
      </w:pPr>
      <w:r>
        <w:rPr/>
        <w:t xml:space="preserve">COUNT II: CHRONIC-CONDITION FUNCTIONAL MEDICINE ADVERTISING AND REPRESENTATIONS</w:t>
      </w:r>
    </w:p>
    <w:p>
      <w:pPr/>
      <w:r>
        <w:rPr/>
        <w:t xml:space="preserve">Cited authority: K.S.A. 65-2837(b)(12), 65-2837(b)(13), and 65-2871.</w:t>
      </w:r>
    </w:p>
    <w:p>
      <w:pPr/>
      <w:r>
        <w:rPr/>
        <w:t xml:space="preserve">The conduct described above raises substantial concerns under K.S.A. 65-2837(b)(12), 65-2837(b)(13), and 65-2871 and warrants Board investigation.</w:t>
      </w:r>
    </w:p>
    <w:p>
      <w:pPr>
        <w:pStyle w:val="Heading2"/>
      </w:pPr>
      <w:r>
        <w:rPr/>
        <w:t xml:space="preserve">COUNT III: FUNCTIONAL LABORATORY TESTING AND HEALTH-PLANNING REPRESENTATIONS</w:t>
      </w:r>
    </w:p>
    <w:p>
      <w:pPr/>
      <w:r>
        <w:rPr/>
        <w:t xml:space="preserve">Cited authority: K.S.A. 65-2837(b)(1) and 65-2836(g).</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K.S.A. 65-2837(b)(1) and 65-2836(g) and warrants Board investigation.</w:t>
      </w:r>
    </w:p>
    <w:p>
      <w:pPr>
        <w:pStyle w:val="Heading2"/>
      </w:pPr>
      <w:r>
        <w:rPr/>
        <w:t xml:space="preserve">COUNT IV: SUPPLEMENT-INTEGRATED FUNCTIONAL MEDICINE AND COMMERCIAL PRACTICE STRUCTURE</w:t>
      </w:r>
    </w:p>
    <w:p>
      <w:pPr/>
      <w:r>
        <w:rPr/>
        <w:t xml:space="preserve">Cited authority: K.S.A. 65-2837 and 65-2871.</w:t>
      </w:r>
    </w:p>
    <w:p>
      <w:pPr/>
      <w:r>
        <w:rPr/>
        <w:t xml:space="preserve">The conduct described above raises substantial concerns under K.S.A. 65-2837 and 65-2871 and warrants Board investigation.</w:t>
      </w:r>
    </w:p>
    <w:p>
      <w:pPr>
        <w:pStyle w:val="Heading2"/>
      </w:pPr>
      <w:r>
        <w:rPr/>
        <w:t xml:space="preserve">COUNT V: UNPROFESSIONAL CONDUCT</w:t>
      </w:r>
    </w:p>
    <w:p>
      <w:pPr/>
      <w:r>
        <w:rPr/>
        <w:t xml:space="preserve">Cited authority: K.S.A. 65-2836 and 65-2837.</w:t>
      </w:r>
    </w:p>
    <w:p>
      <w:pPr/>
      <w:r>
        <w:rPr/>
        <w:t xml:space="preserve">The conduct described above raises substantial concerns under K.S.A. 65-2836 and 65-2837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https://ksbha.kansas.gov/verifications/</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https://asfca.com/doctors/overland-park-doctors/dr-brad-m-woodle/</w:t>
            </w:r>
          </w:p>
        </w:tc>
        <w:tc>
          <w:tcPr>
            <w:tcW w:w="0" w:type="auto"/>
          </w:tcPr>
          <w:p>
            <w:pPr/>
            <w:r>
              <w:rPr/>
              <w:t xml:space="preserve">https://web.archive.org/web/20260311165241/https://asfca.com/doctors/overland-park-doctors/dr-brad-m-woodle/ (captured 2026031116)</w:t>
            </w:r>
          </w:p>
        </w:tc>
      </w:tr>
      <w:tr>
        <w:tc>
          <w:tcPr>
            <w:tcW w:w="0" w:type="auto"/>
          </w:tcPr>
          <w:p>
            <w:pPr/>
            <w:r>
              <w:rPr/>
              <w:t xml:space="preserve">Exhibit C</w:t>
            </w:r>
          </w:p>
        </w:tc>
        <w:tc>
          <w:tcPr>
            <w:tcW w:w="0" w:type="auto"/>
          </w:tcPr>
          <w:p>
            <w:pPr/>
            <w:r>
              <w:rPr/>
              <w:t xml:space="preserve">Storefront or vendor link (Metagenics)</w:t>
            </w:r>
          </w:p>
        </w:tc>
        <w:tc>
          <w:tcPr>
            <w:tcW w:w="0" w:type="auto"/>
          </w:tcPr>
          <w:p>
            <w:pPr/>
            <w:r>
              <w:rPr/>
              <w:t xml:space="preserve">https://asfca.metagenics.com/</w:t>
            </w:r>
          </w:p>
        </w:tc>
        <w:tc>
          <w:tcPr>
            <w:tcW w:w="0" w:type="auto"/>
          </w:tcPr>
          <w:p>
            <w:pPr/>
            <w:r>
              <w:rPr/>
              <w:t xml:space="preserve">https://web.archive.org/web/20230323001907/https://asfca.metagenics.com/ (captured 2023032300)</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