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Florida.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Eric Berg</w:t>
      </w:r>
    </w:p>
    <w:p>
      <w:pPr/>
      <w:r>
        <w:rPr/>
        <w:t xml:space="preserve">License No. [LICENSE NUMBER, IF KNOWN]</w:t>
      </w:r>
    </w:p>
    <w:p>
      <w:pPr/>
      <w:r>
        <w:rPr/>
        <w:t xml:space="preserve">912 Drew Street. Suite 203-13, Clearwater, Florida, 33755</w:t>
      </w:r>
    </w:p>
    <w:p>
      <w:pPr>
        <w:pStyle w:val="Heading1"/>
      </w:pPr>
      <w:r>
        <w:rPr/>
        <w:t xml:space="preserve">I. INTRODUCTION</w:t>
      </w:r>
    </w:p>
    <w:p>
      <w:pPr/>
      <w:r>
        <w:rPr/>
        <w:t xml:space="preserve">Complainant respectfully submits this complaint to the state licensing board requesting formal investigation and regulatory review concerning Eric Berg (the Respondent), identified in the attached public materials.</w:t>
      </w:r>
    </w:p>
    <w:p>
      <w:pPr/>
      <w:r>
        <w:rPr/>
        <w:t xml:space="preserve">The public materials reviewed appear to present representations concerning the identification and management of health conditions, including Diagnosing insulin resistance as the primary driver of gout, Type 2 diabetes reversal, Managing cardiovascular disease (hypertension) with specific medical advice, Treating systemic lipid disorders (high cholesterol) with natural protocols, SIBO (Small Intestinal Bacterial Overgrowth), and Diagnosis and treatment of SIBO (Small Intestinal Bacterial Overgrowth), that may extend beyond the the license held scope in Florida.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https://www.drberg.com/, https://drbrg.co/4yfCzXV, https://drberg.com/, https://www.youtube.com/@drberg, https://shop.drberg.com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"6 Natural Remedies for H. Pylori," "How to Kill Parasites: 7 Natural Tips," "How to Get Rid of Toenail Fungus, 3 Natural Solutions," and "Can Benfotiamine Help With Tinnitus?"</w:t>
      </w:r>
    </w:p>
    <w:p>
      <w:pPr>
        <w:pStyle w:val="Heading2"/>
      </w:pPr>
      <w:r>
        <w:rPr/>
        <w:t xml:space="preserve">B. Scope of Practice Concerns</w:t>
      </w:r>
    </w:p>
    <w:p>
      <w:pPr/>
      <w:r>
        <w:rPr/>
        <w:t xml:space="preserve">Public content appears to address diagnosing insulin resistance as the primary driver of gout, Type 2 diabetes reversal, managing cardiovascular disease, including hypertension, with specific medical advice, treating systemic lipid disorders, including high cholesterol, with natural protocols, SIBO, diagnosis and treatment of SIBO, and a carnivore diet for SIBO management, which the cited rule text suggests may fall outside the license held scope in Florida. Public content also appears to address eggs reducing Alzheimer's risk by 47%, eggs as a useful tool for dementia prevention, recommending a specific dietary tool for dementia prevention, Alzheimer's disease prevention via dietary eggs, and a dementia prevention protocol, which the cited rule text suggests may fall outside the license held scope in Florida.</w:t>
      </w:r>
    </w:p>
    <w:p>
      <w:pPr>
        <w:pStyle w:val="Heading2"/>
      </w:pPr>
      <w:r>
        <w:rPr/>
        <w:t xml:space="preserve">C. Consultation and Monetization Structure</w:t>
      </w:r>
    </w:p>
    <w:p>
      <w:pPr/>
      <w:r>
        <w:rPr/>
        <w:t xml:space="preserve">Public materials appear to describe a consultation and monetization structure that promotes 1 commerce partner, with compensation model not yet established, and kickback or affiliate signals on 2 source(s).</w:t>
      </w:r>
    </w:p>
    <w:p>
      <w:pPr>
        <w:pStyle w:val="Heading2"/>
      </w:pPr>
      <w:r>
        <w:rPr/>
        <w:t xml:space="preserve">D. Storefront and Product Sales</w:t>
      </w:r>
    </w:p>
    <w:p>
      <w:pPr/>
      <w:r>
        <w:rPr/>
        <w:t xml:space="preserve">Public materials appear to link to Dr. Berg (Proprietary Brand) (supplement), and the vendor's public materials describe provider compensation for such links.</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Diagnosing insulin resistance as the primary driver of gout, Type 2 diabetes reversal, Managing cardiovascular disease (hypertension) with specific medical advice, Treating systemic lipid disorders (high cholesterol) with natural protocols, SIBO (Small Intestinal Bacterial Overgrowth), Diagnosis and treatment of SIBO (Small Intestinal Bacterial Overgrowth), Carnivore diet for SIBO management, Eggs reduce Alzheimer's risk by 47%, Eggs are a useful tool for dementia prevention, Recommending a specific dietary tool for dementia prevention, Alzheimer's disease prevention via dietary eggs, and Dementia prevention protocol, which the cited rule text suggests may fall outside the the license held scope.</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public marketing representations and testimonials described above appear to present the practice's services without consistently identifying the limits of the the license held scope or the practitioner's credentials.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https://mqa-internet.doh.state.fl.us/MQASearchServices/Home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https://www.drberg.com/</w:t>
            </w:r>
          </w:p>
        </w:tc>
        <w:tc>
          <w:tcPr>
            <w:tcW w:w="0" w:type="auto"/>
          </w:tcPr>
          <w:p>
            <w:pPr/>
            <w:r>
              <w:rPr/>
              <w:t xml:space="preserve">https://web.archive.org/web/20260714202024/https://www.drberg.com/ (captured 2026071420)</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https://drbrg.co/4yfCzXV</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Additional public practice website</w:t>
            </w:r>
          </w:p>
        </w:tc>
        <w:tc>
          <w:tcPr>
            <w:tcW w:w="0" w:type="auto"/>
          </w:tcPr>
          <w:p>
            <w:pPr/>
            <w:r>
              <w:rPr/>
              <w:t xml:space="preserve">https://drberg.com/</w:t>
            </w:r>
          </w:p>
        </w:tc>
        <w:tc>
          <w:tcPr>
            <w:tcW w:w="0" w:type="auto"/>
          </w:tcPr>
          <w:p>
            <w:pPr/>
            <w:r>
              <w:rPr/>
              <w:t xml:space="preserve">[attach a printed, dated capture]</w:t>
            </w:r>
          </w:p>
        </w:tc>
      </w:tr>
      <w:tr>
        <w:tc>
          <w:tcPr>
            <w:tcW w:w="0" w:type="auto"/>
          </w:tcPr>
          <w:p>
            <w:pPr/>
            <w:r>
              <w:rPr/>
              <w:t xml:space="preserve">Exhibit E</w:t>
            </w:r>
          </w:p>
        </w:tc>
        <w:tc>
          <w:tcPr>
            <w:tcW w:w="0" w:type="auto"/>
          </w:tcPr>
          <w:p>
            <w:pPr/>
            <w:r>
              <w:rPr/>
              <w:t xml:space="preserve">Additional public practice website</w:t>
            </w:r>
          </w:p>
        </w:tc>
        <w:tc>
          <w:tcPr>
            <w:tcW w:w="0" w:type="auto"/>
          </w:tcPr>
          <w:p>
            <w:pPr/>
            <w:r>
              <w:rPr/>
              <w:t xml:space="preserve">https://www.youtube.com/@drberg</w:t>
            </w:r>
          </w:p>
        </w:tc>
        <w:tc>
          <w:tcPr>
            <w:tcW w:w="0" w:type="auto"/>
          </w:tcPr>
          <w:p>
            <w:pPr/>
            <w:r>
              <w:rPr/>
              <w:t xml:space="preserve">[attach a printed, dated capture]</w:t>
            </w:r>
          </w:p>
        </w:tc>
      </w:tr>
      <w:tr>
        <w:tc>
          <w:tcPr>
            <w:tcW w:w="0" w:type="auto"/>
          </w:tcPr>
          <w:p>
            <w:pPr/>
            <w:r>
              <w:rPr/>
              <w:t xml:space="preserve">Exhibit F</w:t>
            </w:r>
          </w:p>
        </w:tc>
        <w:tc>
          <w:tcPr>
            <w:tcW w:w="0" w:type="auto"/>
          </w:tcPr>
          <w:p>
            <w:pPr/>
            <w:r>
              <w:rPr/>
              <w:t xml:space="preserve">Storefront or vendor link (Dr. Berg (Proprietary Brand))</w:t>
            </w:r>
          </w:p>
        </w:tc>
        <w:tc>
          <w:tcPr>
            <w:tcW w:w="0" w:type="auto"/>
          </w:tcPr>
          <w:p>
            <w:pPr/>
            <w:r>
              <w:rPr/>
              <w:t xml:space="preserve">https://shop.drberg.com</w:t>
            </w:r>
          </w:p>
        </w:tc>
        <w:tc>
          <w:tcPr>
            <w:tcW w:w="0" w:type="auto"/>
          </w:tcPr>
          <w:p>
            <w:pPr/>
            <w:r>
              <w:rPr/>
              <w:t xml:space="preserve">https://web.archive.org/web/20260713125747/https://shop.drberg.com/ (captured 2026071312)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