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Carron Perry</w:t>
      </w:r>
    </w:p>
    <w:p>
      <w:pPr/>
      <w:r>
        <w:rPr/>
        <w:t xml:space="preserve">License No. [LICENSE NUMBER, IF KNOWN]</w:t>
      </w:r>
    </w:p>
    <w:p>
      <w:pPr/>
      <w:r>
        <w:rPr/>
        <w:t xml:space="preserve">Discovery Chiropractic, PLLC</w:t>
      </w:r>
    </w:p>
    <w:p>
      <w:pPr/>
      <w:r>
        <w:rPr/>
        <w:t xml:space="preserve">107, Maplewood, Minnesota, 55109</w:t>
      </w:r>
    </w:p>
    <w:p>
      <w:pPr/>
      <w:r>
        <w:rPr/>
        <w:t xml:space="preserve">NPI (public registry): 1114076221</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Carron Perry (the Respondent), practicing through Discovery Chiropractic, PLLC, 107, Maplewood, Minnesota, 55109.</w:t>
      </w:r>
    </w:p>
    <w:p>
      <w:pPr/>
      <w:r>
        <w:rPr/>
        <w:t xml:space="preserve">The public materials reviewed appear to present representations concerning the identification and management of health conditions, including Mold Illness, Anxiety, Hypermobility, Frequency Specific Microcurrent, Vagus Nerve Dysfunction, and Functional Medicine supplement protocols, that may extend beyond the D.C. scope in Minnesota.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https://discoverymn.com/ and the public registry and license verification sources listed in the exhibit index below.</w:t>
      </w:r>
    </w:p>
    <w:p>
      <w:pPr>
        <w:pStyle w:val="Heading1"/>
      </w:pPr>
      <w:r>
        <w:rPr/>
        <w:t xml:space="preserve">II. STATEMENT OF FACTS</w:t>
      </w:r>
    </w:p>
    <w:p>
      <w:pPr/>
      <w:r>
        <w:rPr/>
        <w:t xml:space="preserve">{"A. Public Marketing Representations":"Publicly posted content appears to represent that Carron Perry has \"completed hundreds of hours of Functional Medicine training, and successfully treated numerous patients using Functional Medicine principles and supplements.\" The same public content appears to reference \"anxiety,\" \"Frequency Specific Microcurrent (FSM),\" and \"Vagus Nerve Dysfunction.\"\n\nB. Scope of Practice Concerns":"Public content appears to address Mold Illness, Anxiety, Hypermobility, Frequency Specific Microcurrent, Vagus Nerve Dysfunction, Functional Medicine supplement protocols, and Qi or life-force-energy acupuncture explanation. The applicable licensing rules appear to treat Mold Illness, Anxiety, Frequency Specific Microcurrent, Vagus Nerve Dysfunction, and Functional Medicine supplement protocols as potentially outside the Minnesota D.C. scope, while Hypermobility and Qi or life-force-energy acupuncture explanation appear to be treated as gray areas.\n\nC. Consultation and Monetization Structure":"Public materials appear to describe a consultation and monetization structure involving kickback or affiliate signals on one source.\n\nD. Complainant's Own Experience":"[DESCRIBE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Mold Illness, Anxiety, Hypermobility, Frequency Specific Microcurrent, Vagus Nerve Dysfunction, Functional Medicine supplement protocols, Qi or life-force-energy acupuncture explanation, and Functional Medicine principles and supplements successfully treat patients, which the cited rule text suggests may fall outside the D.C. scope.</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public representations described above appear capable of conveying to consumers a level of clinical authority beyond the licensed scope.</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https://discoverymn.com/</w:t>
            </w:r>
          </w:p>
        </w:tc>
        <w:tc>
          <w:tcPr>
            <w:tcW w:w="0" w:type="auto"/>
          </w:tcPr>
          <w:p>
            <w:pPr/>
            <w:r>
              <w:rPr/>
              <w:t xml:space="preserve">https://web.archive.org/web/20260810042412/https://discoverymn.com/ (captured 2026081004)</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