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Carron Perry</w:t>
      </w:r>
    </w:p>
    <w:p>
      <w:pPr/>
      <w:r>
        <w:rPr/>
        <w:t xml:space="preserve">License No. [LICENSE NUMBER, IF KNOWN]</w:t>
      </w:r>
    </w:p>
    <w:p>
      <w:pPr/>
      <w:r>
        <w:rPr/>
        <w:t xml:space="preserve">Discovery Chiropractic, PLLC</w:t>
      </w:r>
    </w:p>
    <w:p>
      <w:pPr/>
      <w:r>
        <w:rPr/>
        <w:t xml:space="preserve">107, Maplewood, Minnesota, 55109</w:t>
      </w:r>
    </w:p>
    <w:p>
      <w:pPr/>
      <w:r>
        <w:rPr/>
        <w:t xml:space="preserve">NPI (public registry): 1114076221</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Carron Perry (the Respondent), practicing through Discovery Chiropractic, PLLC, 107, Maplewood, Minnesota, 55109.</w:t>
      </w:r>
    </w:p>
    <w:p>
      <w:pPr/>
      <w:r>
        <w:rPr/>
        <w:t xml:space="preserve">The public materials reviewed appear to present representations concerning the identification and management of health conditions, including Mold Illness, Anxiety, Hypermobility, Frequency Specific Microcurrent, Vagus Nerve Dysfunction, and Functional Medicine supplement protocols, that may extend beyond the D.C. scope in Minnesota.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https://discoverymn.com/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state, “I have completed hundreds of hours of Functional Medicine training, and successfully treated numerous patients using Functional Medicine principles and supplements.” Other publicly posted representations include “anxiety,” “Frequency Specific Microcurrent (FSM),” and “Vagus Nerve Dysfunction.”</w:t>
      </w:r>
    </w:p>
    <w:p>
      <w:pPr>
        <w:pStyle w:val="Heading2"/>
      </w:pPr>
      <w:r>
        <w:rPr/>
        <w:t xml:space="preserve">B. Scope of Practice Concerns</w:t>
      </w:r>
    </w:p>
    <w:p>
      <w:pPr/>
      <w:r>
        <w:rPr/>
        <w:t xml:space="preserve">Public content appears to address Mold Illness and Anxiety. Publicly available materials describe a Minnesota chiropractic license as covering the spine, joints, and muscles, but not diagnosing or treating mold illness or anxiety. Public content also appears to address Hypermobility, Frequency Specific Microcurrent, Vagus Nerve Dysfunction, Functional Medicine supplement protocols, and a Qi or life-force-energy explanation of acupuncture. The applicable licensing rules are described as suggesting that these topics may fall outside the D.C. scope in Minnesota, with Hypermobility identified as a gray area.</w:t>
      </w:r>
    </w:p>
    <w:p>
      <w:pPr>
        <w:pStyle w:val="Heading2"/>
      </w:pPr>
      <w:r>
        <w:rPr/>
        <w:t xml:space="preserve">C. Consultation and Monetization Structure</w:t>
      </w:r>
    </w:p>
    <w:p>
      <w:pPr/>
      <w:r>
        <w:rPr/>
        <w:t xml:space="preserve">Public materials appear to describe a consultation and monetization structure with kickback or affiliate signals on one source.</w:t>
      </w:r>
    </w:p>
    <w:p>
      <w:pPr>
        <w:pStyle w:val="Heading2"/>
      </w:pPr>
      <w:r>
        <w:rPr/>
        <w:t xml:space="preserve">D.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Mold Illness, Anxiety, Hypermobility, Frequency Specific Microcurrent, Vagus Nerve Dysfunction, Functional Medicine supplement protocols, Qi or life-force-energy acupuncture explanation, and Functional Medicine principles and supplements successfully treat patients,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https://discoverymn.com/</w:t>
            </w:r>
          </w:p>
        </w:tc>
        <w:tc>
          <w:tcPr>
            <w:tcW w:w="0" w:type="auto"/>
          </w:tcPr>
          <w:p>
            <w:pPr/>
            <w:r>
              <w:rPr/>
              <w:t xml:space="preserve">https://web.archive.org/web/20260810042412/https://discoverymn.com/ (captured 2026081004)</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