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North Carolina. It is not legal advice.</w:t>
      </w:r>
    </w:p>
    <w:p>
      <w:pPr>
        <w:jc w:val="center"/>
      </w:pPr>
      <w:r>
        <w:rPr>
          <w:b/>
        </w:rPr>
        <w:t xml:space="preserve">NORTH CAROLINA MEDICAL BOARD</w:t>
      </w:r>
    </w:p>
    <w:p>
      <w:pPr>
        <w:pStyle w:val="Heading1"/>
        <w:jc w:val="center"/>
      </w:pPr>
      <w:r>
        <w:rPr/>
        <w:t xml:space="preserve">FORMAL COMPLAINT REQUESTING INVESTIGATION AND REVIEW</w:t>
      </w:r>
    </w:p>
    <w:p>
      <w:pPr/>
      <w:r>
        <w:rPr>
          <w:b/>
        </w:rPr>
        <w:t xml:space="preserve">In the Matter of:</w:t>
      </w:r>
    </w:p>
    <w:p>
      <w:pPr/>
      <w:r>
        <w:rPr/>
        <w:t xml:space="preserve">Carolyn Dean</w:t>
      </w:r>
    </w:p>
    <w:p>
      <w:pPr/>
      <w:r>
        <w:rPr/>
        <w:t xml:space="preserve">License No. [LICENSE NUMBER, IF KNOWN]</w:t>
      </w:r>
    </w:p>
    <w:p>
      <w:pPr/>
      <w:r>
        <w:rPr/>
        <w:t xml:space="preserve">178 Cayuga Drive, Mooresville, North Carolina, 28117</w:t>
      </w:r>
    </w:p>
    <w:p>
      <w:pPr>
        <w:pStyle w:val="Heading1"/>
      </w:pPr>
      <w:r>
        <w:rPr/>
        <w:t xml:space="preserve">I. INTRODUCTION</w:t>
      </w:r>
    </w:p>
    <w:p>
      <w:pPr/>
      <w:r>
        <w:rPr/>
        <w:t xml:space="preserve">Complainant respectfully submits this complaint to the North Carolina Medical Board requesting formal investigation and regulatory review concerning Carolyn Dean (the Respondent), identified in the attached public materials.</w:t>
      </w:r>
    </w:p>
    <w:p>
      <w:pPr/>
      <w:r>
        <w:rPr/>
        <w:t xml:space="preserve">The public materials reviewed appear to present representations concerning the identification and management of health conditions, including 9 minerals that support thyroid and adrenal function*, ReMag, ReMyte, RE-MAG 8oz, RE-MAG 16oz, and RE-MYTE 8oz, that may extend beyond the Physician (MD/DO) scope in North Carolina.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https://rnareset.com/, https://rnareset.com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registry record lists Respondent as holding an active Physician (MD/DO) license issued by the state board in North Carolina and subject to its jurisdiction. Respondent is not identified in any publicly available material as a licensed specialist beyond the general Physician (MD/DO) designation.</w:t>
      </w:r>
    </w:p>
    <w:p>
      <w:pPr>
        <w:pStyle w:val="Heading2"/>
      </w:pPr>
      <w:r>
        <w:rPr/>
        <w:t xml:space="preserve">B. Public Marketing Representations</w:t>
      </w:r>
    </w:p>
    <w:p>
      <w:pPr/>
      <w:r>
        <w:rPr/>
        <w:t xml:space="preserve">Publicly accessible materials associated with Respondent present the practice's primary identity not solely as a physician office but as a functional medicine and root cause health practice. The clinic's homepage headline names thyroid, adrenal, and mineral concerns, and its stated mission is to use functional medicine to uncover the root cause of health challenges. The online booking platform separately lists functional medicine and physician care as independent schedulable service categories.</w:t>
      </w:r>
    </w:p>
    <w:p>
      <w:pPr>
        <w:pStyle w:val="Heading2"/>
      </w:pPr>
      <w:r>
        <w:rPr/>
        <w:t xml:space="preserve">C. Clinical Frameworks</w:t>
      </w:r>
    </w:p>
    <w:p>
      <w:pPr/>
      <w:r>
        <w:rPr/>
        <w:t xml:space="preserve">Public content appears to address 9 minerals that support thyroid and adrenal function*, which the cited rule text suggests may fall outside the Physician (MD/DO) scope in North Carolina. The cited rule treats this as a gray area.</w:t>
      </w:r>
    </w:p>
    <w:p>
      <w:pPr/>
      <w:r>
        <w:rPr/>
        <w:t xml:space="preserve">Public content appears to address ReMag, which the cited rule text suggests may fall outside the Physician (MD/DO) scope in North Carolina. The cited rule treats this as a gray area.</w:t>
      </w:r>
    </w:p>
    <w:p>
      <w:pPr/>
      <w:r>
        <w:rPr/>
        <w:t xml:space="preserve">Public content appears to address ReMyte, which the cited rule text suggests may fall outside the Physician (MD/DO) scope in North Carolina. The cited rule treats this as a gray area.</w:t>
      </w:r>
    </w:p>
    <w:p>
      <w:pPr/>
      <w:r>
        <w:rPr/>
        <w:t xml:space="preserve">Public content appears to address RE-MAG 8oz, which the cited rule text suggests may fall outside the Physician (MD/DO) scope in North Carolina. The cited rule treats this as a gray area.</w:t>
      </w:r>
    </w:p>
    <w:p>
      <w:pPr/>
      <w:r>
        <w:rPr/>
        <w:t xml:space="preserve">Public content appears to address RE-MAG 16oz, which the cited rule text suggests may fall outside the Physician (MD/DO) scope in North Carolina. The cited rule treats this as a gray area.</w:t>
      </w:r>
    </w:p>
    <w:p>
      <w:pPr/>
      <w:r>
        <w:rPr/>
        <w:t xml:space="preserve">Public content appears to address RE-MYTE 8oz, which the cited rule text suggests may fall outside the Physician (MD/DO) scope in North Carolina. The cited rule treats this as a gray area.</w:t>
      </w:r>
    </w:p>
    <w:p>
      <w:pPr/>
      <w:r>
        <w:rPr/>
        <w:t xml:space="preserve">Public content appears to address RE-MYTE 16oz, which the cited rule text suggests may fall outside the Physician (MD/DO) scope in North Carolina. The cited rule treats this as a gray area.</w:t>
      </w:r>
    </w:p>
    <w:p>
      <w:pPr/>
      <w:r>
        <w:rPr/>
        <w:t xml:space="preserve">Public content appears to address Pico Potassium, which the cited rule text suggests may fall outside the Physician (MD/DO) scope in North Carolina. The cited rule treats this as a gray area.</w:t>
      </w:r>
    </w:p>
    <w:p>
      <w:pPr/>
      <w:r>
        <w:rPr/>
        <w:t xml:space="preserve">Public content appears to address Recalcia, which the cited rule text suggests may fall outside the Physician (MD/DO) scope in North Carolina. The cited rule treats this as a gray area.</w:t>
      </w:r>
    </w:p>
    <w:p>
      <w:pPr/>
      <w:r>
        <w:rPr/>
        <w:t xml:space="preserve">Public content appears to address Pico Zinc Plus, which the cited rule text suggests may fall outside the Physician (MD/DO) scope in North Carolina. The cited rule treats this as a gray area.</w:t>
      </w:r>
    </w:p>
    <w:p>
      <w:pPr/>
      <w:r>
        <w:rPr/>
        <w:t xml:space="preserve">Public content appears to address Gut-Brain-Skin Axis Nutrition Protocol, which the cited rule text suggests may fall outside the Physician (MD/DO) scope in North Carolina. The cited rule treats this as a gray area.</w:t>
      </w:r>
    </w:p>
    <w:p>
      <w:pPr/>
      <w:r>
        <w:rPr/>
        <w:t xml:space="preserve">Public content appears to address Proprietary Mineral Supplements (ReMag, ReMyte, etc.), which the cited rule text suggests may fall outside the Physician (MD/DO) scope in North Carolina. The cited rule treats this as a gray area.</w:t>
      </w:r>
    </w:p>
    <w:p>
      <w:pPr>
        <w:pStyle w:val="Heading2"/>
      </w:pPr>
      <w:r>
        <w:rPr/>
        <w:t xml:space="preserve">D. Funnel</w:t>
      </w:r>
    </w:p>
    <w:p>
      <w:pPr/>
      <w:r>
        <w:rPr/>
        <w:t xml:space="preserve">Publicly available materials associated with Respondent present a pathway for consumers to engage with functional medicine and root cause health concepts, including scheduling options for functional medicine and physician care as distinct service categories.</w:t>
      </w:r>
    </w:p>
    <w:p>
      <w:pPr>
        <w:pStyle w:val="Heading2"/>
      </w:pPr>
      <w:r>
        <w:rPr/>
        <w:t xml:space="preserve">E. Storefront</w:t>
      </w:r>
    </w:p>
    <w:p>
      <w:pPr/>
      <w:r>
        <w:rPr/>
        <w:t xml:space="preserve">Publicly accessible materials associated with Respondent present the practice's primary identity not solely as a physician office but as a functional medicine and root cause health practice. The clinic's homepage headline names thyroid, adrenal, and mineral concerns, and its stated mission is to use functional medicine to uncover the root cause of health challenges.</w:t>
      </w:r>
    </w:p>
    <w:p>
      <w:pPr>
        <w:pStyle w:val="Heading2"/>
      </w:pPr>
      <w:r>
        <w:rPr/>
        <w:t xml:space="preserve">F. Testimonials</w:t>
      </w:r>
    </w:p>
    <w:p>
      <w:pPr/>
      <w:r>
        <w:rPr/>
        <w:t xml:space="preserve">Publicly available materials associated with Respondent present consumer engagement with functional medicine and root cause health concepts, including scheduling options for functional medicine and physician care as distinct service categories.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medical practice act and board advertising rules.</w:t>
      </w:r>
    </w:p>
    <w:p>
      <w:pPr/>
      <w:r>
        <w:rPr/>
        <w:t xml:space="preserve">The public materials described in the Statement of Facts above appear to address 9 minerals that support thyroid and adrenal function*, ReMag, ReMyte, RE-MAG 8oz, RE-MAG 16oz, RE-MYTE 8oz, RE-MYTE 16oz, Pico Potassium, Recalcia, Pico Zinc Plus, Gut-Brain-Skin Axis Nutrition Protocol, and Proprietary Mineral Supplements (ReMag, ReMyte, etc.), which the cited rule text suggests may fall outside the Physician (MD/DO) scope.</w:t>
      </w:r>
    </w:p>
    <w:p>
      <w:pPr/>
      <w:r>
        <w:rPr/>
        <w:t xml:space="preserve">The conduct described above raises substantial concerns under the state's medical practice act and board advertising rules and warrants Board investigation.</w:t>
      </w:r>
    </w:p>
    <w:p>
      <w:pPr>
        <w:pStyle w:val="Heading2"/>
      </w:pPr>
      <w:r>
        <w:rPr/>
        <w:t xml:space="preserve">COUNT II: ADVERTISING AND PUBLIC REPRESENTATION CONCERNS</w:t>
      </w:r>
    </w:p>
    <w:p>
      <w:pPr/>
      <w:r>
        <w:rPr/>
        <w:t xml:space="preserve">Cited authority: the state's medical practice act and board advertising rules.</w:t>
      </w:r>
    </w:p>
    <w:p>
      <w:pPr/>
      <w:r>
        <w:rPr/>
        <w:t xml:space="preserve">The conduct described above raises substantial concerns under the state's medical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https://rnareset.com/</w:t>
            </w:r>
          </w:p>
        </w:tc>
        <w:tc>
          <w:tcPr>
            <w:tcW w:w="0" w:type="auto"/>
          </w:tcPr>
          <w:p>
            <w:pPr/>
            <w:r>
              <w:rPr/>
              <w:t xml:space="preserve">https://web.archive.org/web/20260314024856/https://rnareset.com/ (captured 2026031402)</w:t>
            </w:r>
          </w:p>
        </w:tc>
      </w:tr>
      <w:tr>
        <w:tc>
          <w:tcPr>
            <w:tcW w:w="0" w:type="auto"/>
          </w:tcPr>
          <w:p>
            <w:pPr/>
            <w:r>
              <w:rPr/>
              <w:t xml:space="preserve">Exhibit C</w:t>
            </w:r>
          </w:p>
        </w:tc>
        <w:tc>
          <w:tcPr>
            <w:tcW w:w="0" w:type="auto"/>
          </w:tcPr>
          <w:p>
            <w:pPr/>
            <w:r>
              <w:rPr/>
              <w:t xml:space="preserve">Storefront or vendor link (RnA ReSet)</w:t>
            </w:r>
          </w:p>
        </w:tc>
        <w:tc>
          <w:tcPr>
            <w:tcW w:w="0" w:type="auto"/>
          </w:tcPr>
          <w:p>
            <w:pPr/>
            <w:r>
              <w:rPr/>
              <w:t xml:space="preserve">https://rnareset.com</w:t>
            </w:r>
          </w:p>
        </w:tc>
        <w:tc>
          <w:tcPr>
            <w:tcW w:w="0" w:type="auto"/>
          </w:tcPr>
          <w:p>
            <w:pPr/>
            <w:r>
              <w:rPr/>
              <w:t xml:space="preserve">https://web.archive.org/web/20260314024856/https://rnareset.com/ (captured 2026031402)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