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Heather Fay</w:t>
      </w:r>
    </w:p>
    <w:p>
      <w:pPr/>
      <w:r>
        <w:rPr/>
        <w:t xml:space="preserve">License No. [LICENSE NUMBER, IF KNOWN]</w:t>
      </w:r>
    </w:p>
    <w:p>
      <w:pPr/>
      <w:r>
        <w:rPr/>
        <w:t xml:space="preserve">410 E Main St, Marion, 66861</w:t>
      </w:r>
    </w:p>
    <w:p>
      <w:pPr/>
      <w:r>
        <w:rPr/>
        <w:t xml:space="preserve">NPI (public registry): 1366803157</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Heather Fay (the Respondent), identified in the attached public materials.</w:t>
      </w:r>
    </w:p>
    <w:p>
      <w:pPr/>
      <w:r>
        <w:rPr/>
        <w:t xml:space="preserve">The public materials reviewed appear to present representations concerning the identification and management of health conditions, including Thyroid and Adrenal, Thyroid Complex, The practice treats chronic fatigue and low energy, The practice addresses autoimmune disease, Chronic Fatigue and Low Energy Levels, and Chronic fatigue and low energy. A chiropractic license in Kansas covers the spine, joints and muscles. It does not cover diagnosing or treating these conditions.</w:t>
      </w:r>
    </w:p>
    <w:p>
      <w:pPr/>
      <w:r>
        <w:rPr/>
        <w:t xml:space="preserve">Public registry records associate the Respondent's licensure with Missouri, while the practice location described in the public materials is in Kansas. This complaint is directed to the board for the state where the practice is publicly advertised. The licensing authority in Missouri may also accept a complaint concerning the same conduct.</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https://ffc.standardprocess.com/, https://kansasfunctionalmedicine.com/, https://ffc.standardprocess.com/products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Heather Fay, credential DC, appears to address Thyroid and Adrenal, Thyroid Complex, chronic fatigue and low energy, autoimmune disease, Chronic Fatigue and Low Energy Levels, gallbladder health, Advanced Kidney Support, Adrenal Complex, Adrenal Desiccated, Adrenal Health Pack, AllergCo, and Allerplex. The applicable licensing rules are referenced in the public-record review as suggesting that these subjects may fall outside the DC scope in Kansas.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Thyroid and Adrenal, Thyroid Complex, The practice treats chronic fatigue and low energy, The practice addresses autoimmune disease, Chronic Fatigue and Low Energy Levels, Chronic fatigue and low energy, Gallbladder health, Advanced Kidney Support, Adrenal Complex, Adrenal Desiccated, Adrenal Health Pack, and AllergCo, which the cited rule text suggests may fall outside the DC scope.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r>
        <w:rPr/>
        <w:t xml:space="preserve">6. Public registry records also associate the licensure with Missouri; consider sending a copy of this complaint to that state's board as well.</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https://ffc.standardprocess.com/</w:t>
            </w:r>
          </w:p>
        </w:tc>
        <w:tc>
          <w:tcPr>
            <w:tcW w:w="0" w:type="auto"/>
          </w:tcPr>
          <w:p>
            <w:pPr/>
            <w:r>
              <w:rPr/>
              <w:t xml:space="preserve">https://web.archive.org/web/20260824150730/https://ffc.standardprocess.com/products (captured 2026082415)</w:t>
            </w:r>
          </w:p>
        </w:tc>
      </w:tr>
      <w:tr>
        <w:tc>
          <w:tcPr>
            <w:tcW w:w="0" w:type="auto"/>
          </w:tcPr>
          <w:p>
            <w:pPr/>
            <w:r>
              <w:rPr/>
              <w:t xml:space="preserve">Exhibit C</w:t>
            </w:r>
          </w:p>
        </w:tc>
        <w:tc>
          <w:tcPr>
            <w:tcW w:w="0" w:type="auto"/>
          </w:tcPr>
          <w:p>
            <w:pPr/>
            <w:r>
              <w:rPr/>
              <w:t xml:space="preserve">Additional public practice website</w:t>
            </w:r>
          </w:p>
        </w:tc>
        <w:tc>
          <w:tcPr>
            <w:tcW w:w="0" w:type="auto"/>
          </w:tcPr>
          <w:p>
            <w:pPr/>
            <w:r>
              <w:rPr/>
              <w:t xml:space="preserve">https://kansasfunctionalmedicine.com/</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Storefront or vendor link (Standard Process)</w:t>
            </w:r>
          </w:p>
        </w:tc>
        <w:tc>
          <w:tcPr>
            <w:tcW w:w="0" w:type="auto"/>
          </w:tcPr>
          <w:p>
            <w:pPr/>
            <w:r>
              <w:rPr/>
              <w:t xml:space="preserve">https://ffc.standardprocess.com/products</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