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pStyle w:val="Note"/>
      </w:pPr>
      <w:r>
        <w:rPr/>
        <w:t xml:space="preserve">Complaint template prepared from a public-record review by drtrustmebro.com. The complaint you submit is your own; review and edit every statement before signing. This template is intended for residents or patients of Minnesota. It is not legal advice.</w:t>
      </w:r>
    </w:p>
    <w:p>
      <w:pPr>
        <w:jc w:val="center"/>
      </w:pPr>
      <w:r>
        <w:rPr>
          <w:b/>
        </w:rPr>
        <w:t xml:space="preserve">MINNESOTA BOARD OF CHIROPRACTIC EXAMINERS</w:t>
      </w:r>
    </w:p>
    <w:p>
      <w:pPr>
        <w:pStyle w:val="Heading1"/>
        <w:jc w:val="center"/>
      </w:pPr>
      <w:r>
        <w:rPr/>
        <w:t xml:space="preserve">FORMAL COMPLAINT REQUESTING INVESTIGATION AND REVIEW</w:t>
      </w:r>
    </w:p>
    <w:p>
      <w:pPr/>
      <w:r>
        <w:rPr>
          <w:b/>
        </w:rPr>
        <w:t xml:space="preserve">In the Matter of:</w:t>
      </w:r>
    </w:p>
    <w:p>
      <w:pPr/>
      <w:r>
        <w:rPr/>
        <w:t xml:space="preserve">Todd A Anderson</w:t>
      </w:r>
    </w:p>
    <w:p>
      <w:pPr/>
      <w:r>
        <w:rPr/>
        <w:t xml:space="preserve">License No. [LICENSE NUMBER, IF KNOWN]</w:t>
      </w:r>
    </w:p>
    <w:p>
      <w:pPr/>
      <w:r>
        <w:rPr/>
        <w:t xml:space="preserve">NPI (public registry): 1134662133</w:t>
      </w:r>
    </w:p>
    <w:p>
      <w:pPr>
        <w:pStyle w:val="Heading1"/>
      </w:pPr>
      <w:r>
        <w:rPr/>
        <w:t xml:space="preserve">I. INTRODUCTION</w:t>
      </w:r>
    </w:p>
    <w:p>
      <w:pPr/>
      <w:r>
        <w:rPr/>
        <w:t xml:space="preserve">Complainant respectfully submits this complaint to the MINNESOTA BOARD OF CHIROPRACTIC EXAMINERS requesting formal investigation and regulatory review concerning Todd A Anderson (the Respondent), identified in the attached public materials.</w:t>
      </w:r>
    </w:p>
    <w:p>
      <w:pPr/>
      <w:r>
        <w:rPr/>
        <w:t xml:space="preserve">The public materials reviewed appear to present representations concerning the identification and management of health conditions, including Autoimmunity, Thyroid Support, Hormone Balance, Reverse autoimmune conditions, Leaky gut causes chronic disease, and Diagnosing and managing systemic autoimmune diseases (Hashimoto's, Lupus, Psoriasis). A chiropractic license in Minnesota covers the spine, joints and muscles. It does not cover diagnosing or treating these conditions. The materials also appear to describe paid consultations, care plans, or product sales offered in connection with those representations.</w:t>
      </w:r>
    </w:p>
    <w:p>
      <w:pPr/>
      <w:r>
        <w:rPr/>
        <w:t xml:space="preserve">This complaint is based exclusively upon publicly available materials and does not rely upon confidential patient records, privileged communications, or non-public investigative information. The factual observations herein were assembled from an automated public-record review of the Respondent's public website and public registry records, and were reviewed and adopted by the Complainant. All observations are potential, unverified signals from public records; the Board is the sole finder of fact.</w:t>
      </w:r>
    </w:p>
    <w:p>
      <w:pPr/>
      <w:r>
        <w:rPr/>
        <w:t xml:space="preserve">The principal public materials reviewed include https://us.fullscript.com/welcome/dranderson, https://momentumhealthwellnessmn.com/?dtmb_roster=todd-anderson, https://us.fullscript.com/ and the public registry and license verification sources listed in the exhibit index below.</w:t>
      </w:r>
    </w:p>
    <w:p>
      <w:pPr>
        <w:pStyle w:val="Heading1"/>
      </w:pPr>
      <w:r>
        <w:rPr/>
        <w:t xml:space="preserve">II. STATEMENT OF FACTS</w:t>
      </w:r>
    </w:p>
    <w:p>
      <w:pPr>
        <w:pStyle w:val="Heading2"/>
      </w:pPr>
      <w:r>
        <w:rPr/>
        <w:t xml:space="preserve">A. Public Marketing Representations</w:t>
      </w:r>
    </w:p>
    <w:p>
      <w:pPr/>
      <w:r>
        <w:rPr/>
        <w:t xml:space="preserve">Publicly posted content appears to make the following representation: "You can stay on track with refill reminders timed and personalized to recommended dosages."</w:t>
      </w:r>
    </w:p>
    <w:p>
      <w:pPr>
        <w:pStyle w:val="Heading2"/>
      </w:pPr>
      <w:r>
        <w:rPr/>
        <w:t xml:space="preserve">B. Scope of Practice Concerns</w:t>
      </w:r>
    </w:p>
    <w:p>
      <w:pPr/>
      <w:r>
        <w:rPr/>
        <w:t xml:space="preserve">Public content appears to address Autoimmunity, Thyroid Support, Hormone Balance, Reverse autoimmune conditions, Leaky gut causes chronic disease, and Functional Medicine for Autoimmunity, all of which the cited rule text suggests may fall outside the DC scope in Minnesota. Public content also appears to address diagnosing and managing systemic autoimmune diseases, including Hashimoto's, Lupus, and Psoriasis, as well as treating gut pathology, including Leaky Gut, SIBO, and IBS, as root causes of systemic disease. Additional public content appears to address Leaky Gut / SIBO Protocols, Digestion &amp; Gut Health, and optimizing hormones, including TRT, estrogen, and peptides implied, which the cited rule text suggests may fall outside the DC scope in Minnesota.</w:t>
      </w:r>
    </w:p>
    <w:p>
      <w:pPr>
        <w:pStyle w:val="Heading2"/>
      </w:pPr>
      <w:r>
        <w:rPr/>
        <w:t xml:space="preserve">C. Consultation and Monetization Structure</w:t>
      </w:r>
    </w:p>
    <w:p>
      <w:pPr/>
      <w:r>
        <w:rPr/>
        <w:t xml:space="preserve">Public materials appear to describe a consultation and monetization structure that includes Fullscript, with compensation models identified as dispensing markup and affiliate commission.</w:t>
      </w:r>
    </w:p>
    <w:p>
      <w:pPr>
        <w:pStyle w:val="Heading2"/>
      </w:pPr>
      <w:r>
        <w:rPr/>
        <w:t xml:space="preserve">D. Storefront and Product Sales</w:t>
      </w:r>
    </w:p>
    <w:p>
      <w:pPr/>
      <w:r>
        <w:rPr/>
        <w:t xml:space="preserve">Public materials appear to link to Fullscript in connection with supplement sales, and the vendor's public materials describe provider compensation for such links.</w:t>
      </w:r>
    </w:p>
    <w:p>
      <w:pPr>
        <w:pStyle w:val="Heading2"/>
      </w:pPr>
      <w:r>
        <w:rPr/>
        <w:t xml:space="preserve">E. Public Testimonials</w:t>
      </w:r>
    </w:p>
    <w:p>
      <w:pPr/>
      <w:r>
        <w:rPr/>
        <w:t xml:space="preserve">A publicly posted testimonial appears to state, "Healthcare's best supplements and wellness products are shipped right to your door." Another publicly posted testimonial appears to state, "Products are safer and more effective with higher ingredient, storage, and shipping standards."</w:t>
      </w:r>
    </w:p>
    <w:p>
      <w:pPr>
        <w:pStyle w:val="Heading2"/>
      </w:pPr>
      <w:r>
        <w:rPr/>
        <w:t xml:space="preserve">F. Complainant's Own Experience</w:t>
      </w:r>
    </w:p>
    <w:p>
      <w:pPr/>
      <w:r>
        <w:rPr/>
        <w:t xml:space="preserve">[DESCRIBE YOUR OWN EXPERIENCE, IF ANY]</w:t>
      </w:r>
    </w:p>
    <w:p>
      <w:pPr>
        <w:pStyle w:val="Heading1"/>
      </w:pPr>
      <w:r>
        <w:rPr/>
        <w:t xml:space="preserve">III. AREAS OF CONCERN</w:t>
      </w:r>
    </w:p>
    <w:p>
      <w:pPr>
        <w:pStyle w:val="Heading2"/>
      </w:pPr>
      <w:r>
        <w:rPr/>
        <w:t xml:space="preserve">COUNT I: PRACTICE BEYOND THE SCOPE OF CHIROPRACTIC</w:t>
      </w:r>
    </w:p>
    <w:p>
      <w:pPr/>
      <w:r>
        <w:rPr/>
        <w:t xml:space="preserve">Cited authority: Minn. Stat. Sections 148.01 to 148.108.</w:t>
      </w:r>
    </w:p>
    <w:p>
      <w:pPr/>
      <w:r>
        <w:rPr/>
        <w:t xml:space="preserve">The public materials described in the Statement of Facts above appear to address Autoimmunity, Thyroid Support, Hormone Balance, Reverse autoimmune conditions, Leaky gut causes chronic disease, Diagnosing and managing systemic autoimmune diseases (Hashimoto's, Lupus, Psoriasis), Treating gut pathology (Leaky Gut, SIBO, IBS) as root causes of systemic disease, Functional Medicine for Autoimmunity, Hormone Optimization (TRT/Estrogen), Leaky Gut / SIBO Protocols, Digestion &amp; Gut Health, and Optimize hormones (TRT/peptides implied), which the cited rule text suggests may fall outside the DC scope.</w:t>
      </w:r>
    </w:p>
    <w:p>
      <w:pPr/>
      <w:r>
        <w:rPr/>
        <w:t xml:space="preserve">The conduct described above raises substantial concerns under Minn. Stat. Sections 148.01 to 148.108 and warrants Board investigation.</w:t>
      </w:r>
    </w:p>
    <w:p>
      <w:pPr>
        <w:pStyle w:val="Heading2"/>
      </w:pPr>
      <w:r>
        <w:rPr/>
        <w:t xml:space="preserve">COUNT II: DIAGNOSTIC TESTING AND MEDICAL-STYLE EVALUATION</w:t>
      </w:r>
    </w:p>
    <w:p>
      <w:pPr/>
      <w:r>
        <w:rPr/>
        <w:t xml:space="preserve">Cited authority: Minn. Stat. Section 148.01.</w:t>
      </w:r>
    </w:p>
    <w:p>
      <w:pPr/>
      <w:r>
        <w:rPr/>
        <w:t xml:space="preserve">The public materials described above appear to present condition-specific frameworks, laboratory-testing guidance, and treatment protocols directed at systemic conditions, rather than services grounded in the licensed scope.</w:t>
      </w:r>
    </w:p>
    <w:p>
      <w:pPr/>
      <w:r>
        <w:rPr/>
        <w:t xml:space="preserve">The conduct described above raises substantial concerns under Minn. Stat. Section 148.01 and warrants Board investigation.</w:t>
      </w:r>
    </w:p>
    <w:p>
      <w:pPr>
        <w:pStyle w:val="Heading2"/>
      </w:pPr>
      <w:r>
        <w:rPr/>
        <w:t xml:space="preserve">COUNT III: GROUNDS FOR DISCIPLINARY ACTION</w:t>
      </w:r>
    </w:p>
    <w:p>
      <w:pPr/>
      <w:r>
        <w:rPr/>
        <w:t xml:space="preserve">Cited authority: Minn. Stat. Section 148.10.</w:t>
      </w:r>
    </w:p>
    <w:p>
      <w:pPr/>
      <w:r>
        <w:rPr/>
        <w:t xml:space="preserve">The public representations described above appear capable of conveying to consumers a level of clinical authority beyond the licensed scope.</w:t>
      </w:r>
    </w:p>
    <w:p>
      <w:pPr/>
      <w:r>
        <w:rPr/>
        <w:t xml:space="preserve">The conduct described above raises substantial concerns under Minn. Stat. Section 148.10 and warrants Board investigation.</w:t>
      </w:r>
    </w:p>
    <w:p>
      <w:pPr>
        <w:pStyle w:val="Heading1"/>
      </w:pPr>
      <w:r>
        <w:rPr/>
        <w:t xml:space="preserve">IV. RELIEF REQUESTED</w:t>
      </w:r>
    </w:p>
    <w:p>
      <w:pPr/>
      <w:r>
        <w:rPr/>
        <w:t xml:space="preserve">A. Formal investigation of the conduct described herein, including review of the Respondent's public advertising, website representations, consultation materials, and commercial structures.</w:t>
      </w:r>
    </w:p>
    <w:p>
      <w:pPr/>
      <w:r>
        <w:rPr/>
        <w:t xml:space="preserve">B. A determination by the Board of whether the conduct described herein is consistent with the statutes and rules cited above.</w:t>
      </w:r>
    </w:p>
    <w:p>
      <w:pPr/>
      <w:r>
        <w:rPr/>
        <w:t xml:space="preserve">C. Such disciplinary action as the Board deems appropriate based on its own investigation and findings, up to the maximum authorized for any violation the Board finds.</w:t>
      </w:r>
    </w:p>
    <w:p>
      <w:pPr/>
      <w:r>
        <w:rPr/>
        <w:t xml:space="preserve">D. Corrective relief, where the Board deems appropriate, including requiring the Respondent to correct or remove the specific public representations described above and, if the conduct continues, seeking injunctive relief through a court of competent jurisdiction.</w:t>
      </w:r>
    </w:p>
    <w:p>
      <w:pPr/>
      <w:r>
        <w:rPr/>
        <w:t xml:space="preserve">E. To the extent within the Board's authority, review of the revenues derived from the consultations, care plans, and product sales described above, and consideration of restitution for consumers who relied on the representations to their financial or physical detriment.</w:t>
      </w:r>
    </w:p>
    <w:p>
      <w:pPr/>
      <w:r>
        <w:rPr/>
        <w:t xml:space="preserve">F. Such other and further relief as the Board deems just and proper to protect the public.</w:t>
      </w:r>
    </w:p>
    <w:p>
      <w:pPr/>
      <w:r>
        <w:rPr/>
        <w:t xml:space="preserve">Respectfully submitted,</w:t>
      </w:r>
    </w:p>
    <w:p>
      <w:pPr/>
      <w:r>
        <w:rPr/>
        <w:t xml:space="preserve">[YOUR NAME]</w:t>
      </w:r>
    </w:p>
    <w:p>
      <w:pPr/>
      <w:r>
        <w:rPr/>
        <w:t xml:space="preserve">[YOUR MAILING ADDRESS]</w:t>
      </w:r>
    </w:p>
    <w:p>
      <w:pPr/>
      <w:r>
        <w:rPr/>
        <w:t xml:space="preserve">[YOUR EMAIL AND PHONE]</w:t>
      </w:r>
    </w:p>
    <w:p>
      <w:pPr/>
      <w:r>
        <w:rPr/>
        <w:t xml:space="preserve">[DATE]</w:t>
      </w:r>
    </w:p>
    <w:p>
      <w:pPr>
        <w:pStyle w:val="Heading1"/>
      </w:pPr>
      <w:r>
        <w:rPr/>
        <w:t xml:space="preserve">EDIT BEFORE SENDING</w:t>
      </w:r>
    </w:p>
    <w:p>
      <w:pPr/>
      <w:r>
        <w:rPr/>
        <w:t xml:space="preserve">1. Confirm the license number using the license lookup in Exhibit A and fill it in on page 1.</w:t>
      </w:r>
    </w:p>
    <w:p>
      <w:pPr/>
      <w:r>
        <w:rPr/>
        <w:t xml:space="preserve">2. Replace every bracketed placeholder with your own information, or delete sections that do not apply.</w:t>
      </w:r>
    </w:p>
    <w:p>
      <w:pPr/>
      <w:r>
        <w:rPr/>
        <w:t xml:space="preserve">3. Print and attach dated captures of each exhibit page listed in the exhibit index.</w:t>
      </w:r>
    </w:p>
    <w:p>
      <w:pPr/>
      <w:r>
        <w:rPr/>
        <w:t xml:space="preserve">4. Review every factual statement yourself before signing; submit only what you can stand behind.</w:t>
      </w:r>
    </w:p>
    <w:p>
      <w:pPr/>
      <w:r>
        <w:rPr/>
        <w:t xml:space="preserve">5. Check the board's current submission rules (online portal, mail, or fax) before sending.</w:t>
      </w:r>
    </w:p>
    <w:p>
      <w:pPr>
        <w:pStyle w:val="Heading1"/>
      </w:pPr>
      <w:r>
        <w:rPr/>
        <w:t xml:space="preserve">EXHIBIT INDEX</w:t>
      </w:r>
    </w:p>
    <w:tbl>
      <w:tblPr>
        <w:tblW w:w="0" w:type="auto"/>
        <w:tblBorders>
          <w:top w:val="single" w:sz="4" w:color="999999"/>
          <w:left w:val="single" w:sz="4" w:color="999999"/>
          <w:bottom w:val="single" w:sz="4" w:color="999999"/>
          <w:right w:val="single" w:sz="4" w:color="999999"/>
          <w:insideH w:val="single" w:sz="4" w:color="999999"/>
          <w:insideV w:val="single" w:sz="4" w:color="999999"/>
        </w:tblBorders>
      </w:tblPr>
      <w:tr>
        <w:tc>
          <w:tcPr>
            <w:tcW w:w="0" w:type="auto"/>
          </w:tcPr>
          <w:p>
            <w:pPr/>
            <w:r>
              <w:rPr>
                <w:b/>
              </w:rPr>
              <w:t xml:space="preserve">Exhibit</w:t>
            </w:r>
          </w:p>
        </w:tc>
        <w:tc>
          <w:tcPr>
            <w:tcW w:w="0" w:type="auto"/>
          </w:tcPr>
          <w:p>
            <w:pPr/>
            <w:r>
              <w:rPr>
                <w:b/>
              </w:rPr>
              <w:t xml:space="preserve">Description</w:t>
            </w:r>
          </w:p>
        </w:tc>
        <w:tc>
          <w:tcPr>
            <w:tcW w:w="0" w:type="auto"/>
          </w:tcPr>
          <w:p>
            <w:pPr/>
            <w:r>
              <w:rPr>
                <w:b/>
              </w:rPr>
              <w:t xml:space="preserve">Source</w:t>
            </w:r>
          </w:p>
        </w:tc>
        <w:tc>
          <w:tcPr>
            <w:tcW w:w="0" w:type="auto"/>
          </w:tcPr>
          <w:p>
            <w:pPr/>
            <w:r>
              <w:rPr>
                <w:b/>
              </w:rPr>
              <w:t xml:space="preserve">Archived capture</w:t>
            </w:r>
          </w:p>
        </w:tc>
      </w:tr>
      <w:tr>
        <w:tc>
          <w:tcPr>
            <w:tcW w:w="0" w:type="auto"/>
          </w:tcPr>
          <w:p>
            <w:pPr/>
            <w:r>
              <w:rPr/>
              <w:t xml:space="preserve">Exhibit A</w:t>
            </w:r>
          </w:p>
        </w:tc>
        <w:tc>
          <w:tcPr>
            <w:tcW w:w="0" w:type="auto"/>
          </w:tcPr>
          <w:p>
            <w:pPr/>
            <w:r>
              <w:rPr/>
              <w:t xml:space="preserve">State license verification printout</w:t>
            </w:r>
          </w:p>
        </w:tc>
        <w:tc>
          <w:tcPr>
            <w:tcW w:w="0" w:type="auto"/>
          </w:tcPr>
          <w:p>
            <w:pPr/>
            <w:r>
              <w:rPr/>
              <w:t xml:space="preserve">https://mn.gov/boards/chiropractic-examiners/licenseelookup/</w:t>
            </w:r>
          </w:p>
        </w:tc>
        <w:tc>
          <w:tcPr>
            <w:tcW w:w="0" w:type="auto"/>
          </w:tcPr>
          <w:p>
            <w:pPr/>
            <w:r>
              <w:rPr/>
              <w:t xml:space="preserve">[attach a printed, dated capture]</w:t>
            </w:r>
          </w:p>
        </w:tc>
      </w:tr>
      <w:tr>
        <w:tc>
          <w:tcPr>
            <w:tcW w:w="0" w:type="auto"/>
          </w:tcPr>
          <w:p>
            <w:pPr/>
            <w:r>
              <w:rPr/>
              <w:t xml:space="preserve">Exhibit B</w:t>
            </w:r>
          </w:p>
        </w:tc>
        <w:tc>
          <w:tcPr>
            <w:tcW w:w="0" w:type="auto"/>
          </w:tcPr>
          <w:p>
            <w:pPr/>
            <w:r>
              <w:rPr/>
              <w:t xml:space="preserve">Practice homepage</w:t>
            </w:r>
          </w:p>
        </w:tc>
        <w:tc>
          <w:tcPr>
            <w:tcW w:w="0" w:type="auto"/>
          </w:tcPr>
          <w:p>
            <w:pPr/>
            <w:r>
              <w:rPr/>
              <w:t xml:space="preserve">https://us.fullscript.com/welcome/dranderson</w:t>
            </w:r>
          </w:p>
        </w:tc>
        <w:tc>
          <w:tcPr>
            <w:tcW w:w="0" w:type="auto"/>
          </w:tcPr>
          <w:p>
            <w:pPr/>
            <w:r>
              <w:rPr/>
              <w:t xml:space="preserve">https://web.archive.org/web/20260712185257/https://us.fullscript.com/welcome/dranderson (captured 2026071218)</w:t>
            </w:r>
          </w:p>
        </w:tc>
      </w:tr>
      <w:tr>
        <w:tc>
          <w:tcPr>
            <w:tcW w:w="0" w:type="auto"/>
          </w:tcPr>
          <w:p>
            <w:pPr/>
            <w:r>
              <w:rPr/>
              <w:t xml:space="preserve">Exhibit C</w:t>
            </w:r>
          </w:p>
        </w:tc>
        <w:tc>
          <w:tcPr>
            <w:tcW w:w="0" w:type="auto"/>
          </w:tcPr>
          <w:p>
            <w:pPr/>
            <w:r>
              <w:rPr/>
              <w:t xml:space="preserve">Additional public practice website</w:t>
            </w:r>
          </w:p>
        </w:tc>
        <w:tc>
          <w:tcPr>
            <w:tcW w:w="0" w:type="auto"/>
          </w:tcPr>
          <w:p>
            <w:pPr/>
            <w:r>
              <w:rPr/>
              <w:t xml:space="preserve">https://momentumhealthwellnessmn.com/?dtmb_roster=todd-anderson</w:t>
            </w:r>
          </w:p>
        </w:tc>
        <w:tc>
          <w:tcPr>
            <w:tcW w:w="0" w:type="auto"/>
          </w:tcPr>
          <w:p>
            <w:pPr/>
            <w:r>
              <w:rPr/>
              <w:t xml:space="preserve">[attach a printed, dated capture]</w:t>
            </w:r>
          </w:p>
        </w:tc>
      </w:tr>
      <w:tr>
        <w:tc>
          <w:tcPr>
            <w:tcW w:w="0" w:type="auto"/>
          </w:tcPr>
          <w:p>
            <w:pPr/>
            <w:r>
              <w:rPr/>
              <w:t xml:space="preserve">Exhibit D</w:t>
            </w:r>
          </w:p>
        </w:tc>
        <w:tc>
          <w:tcPr>
            <w:tcW w:w="0" w:type="auto"/>
          </w:tcPr>
          <w:p>
            <w:pPr/>
            <w:r>
              <w:rPr/>
              <w:t xml:space="preserve">Storefront or vendor link (Fullscript)</w:t>
            </w:r>
          </w:p>
        </w:tc>
        <w:tc>
          <w:tcPr>
            <w:tcW w:w="0" w:type="auto"/>
          </w:tcPr>
          <w:p>
            <w:pPr/>
            <w:r>
              <w:rPr/>
              <w:t xml:space="preserve">https://us.fullscript.com/</w:t>
            </w:r>
          </w:p>
        </w:tc>
        <w:tc>
          <w:tcPr>
            <w:tcW w:w="0" w:type="auto"/>
          </w:tcPr>
          <w:p>
            <w:pPr/>
            <w:r>
              <w:rPr/>
              <w:t xml:space="preserve">[attach a printed, dated capture]</w:t>
            </w:r>
          </w:p>
        </w:tc>
      </w:tr>
    </w:tbl>
    <w:p/>
    <w:sectPr>
      <w:pgSz w:w="12240" w:h="15840"/>
      <w:pgMar w:top="1440" w:right="1440" w:bottom="1440" w:left="1440"/>
    </w:sectPr>
  </w:body>
</w:document>
</file>

<file path=word/styles.xml><?xml version="1.0" encoding="utf-8"?>
<w:styles xmlns:w="http://schemas.openxmlformats.org/wordprocessingml/2006/main">
  <w:style w:type="paragraph" w:styleId="Normal" w:default="1">
    <w:name w:val="Normal"/>
    <w:rPr>
      <w:sz w:val="22"/>
    </w:rPr>
    <w:pPr>
      <w:spacing w:after="160" w:line="276" w:lineRule="auto"/>
    </w:pPr>
  </w:style>
  <w:style w:type="paragraph" w:styleId="Heading1">
    <w:name w:val="heading 1"/>
    <w:basedOn w:val="Normal"/>
    <w:rPr>
      <w:b/>
      <w:sz w:val="26"/>
    </w:rPr>
    <w:pPr>
      <w:spacing w:before="240" w:after="120"/>
    </w:pPr>
  </w:style>
  <w:style w:type="paragraph" w:styleId="Heading2">
    <w:name w:val="heading 2"/>
    <w:basedOn w:val="Normal"/>
    <w:rPr>
      <w:b/>
      <w:sz w:val="23"/>
    </w:rPr>
    <w:pPr>
      <w:spacing w:before="200" w:after="100"/>
    </w:pPr>
  </w:style>
  <w:style w:type="paragraph" w:styleId="Note">
    <w:name w:val="Note"/>
    <w:basedOn w:val="Normal"/>
    <w:rPr>
      <w:i/>
      <w:sz w:val="18"/>
    </w:rPr>
  </w:style>
</w:styles>
</file>

<file path=word/_rels/document.xml.rels><?xml version="1.0" encoding="UTF-8" standalone="yes"?>
<Relationships xmlns="http://schemas.openxmlformats.org/package/2006/relationships"><Relationship Id="rId1" Type="http://schemas.openxmlformats.org/officeDocument/2006/relationships/styles" Target="styles.xml"/></Relationships>
</file>