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California. It is not legal advice.</w:t>
      </w:r>
    </w:p>
    <w:p>
      <w:pPr>
        <w:jc w:val="center"/>
      </w:pPr>
      <w:r>
        <w:rPr>
          <w:b/>
        </w:rPr>
        <w:t xml:space="preserve">MEDICAL BOARD OF CALIFORNIA</w:t>
      </w:r>
    </w:p>
    <w:p>
      <w:pPr>
        <w:pStyle w:val="Heading1"/>
        <w:jc w:val="center"/>
      </w:pPr>
      <w:r>
        <w:rPr/>
        <w:t xml:space="preserve">FORMAL COMPLAINT REQUESTING INVESTIGATION AND REVIEW</w:t>
      </w:r>
    </w:p>
    <w:p>
      <w:pPr/>
      <w:r>
        <w:rPr>
          <w:b/>
        </w:rPr>
        <w:t xml:space="preserve">In the Matter of:</w:t>
      </w:r>
    </w:p>
    <w:p>
      <w:pPr/>
      <w:r>
        <w:rPr/>
        <w:t xml:space="preserve">Dean Sherzai</w:t>
      </w:r>
    </w:p>
    <w:p>
      <w:pPr/>
      <w:r>
        <w:rPr/>
        <w:t xml:space="preserve">License No. [LICENSE NUMBER, IF KNOWN]</w:t>
      </w:r>
    </w:p>
    <w:p>
      <w:pPr/>
      <w:r>
        <w:rPr/>
        <w:t xml:space="preserve">11370 Anderson St Ste B-100, Loma Linda, 92354</w:t>
      </w:r>
    </w:p>
    <w:p>
      <w:pPr>
        <w:pStyle w:val="Heading1"/>
      </w:pPr>
      <w:r>
        <w:rPr/>
        <w:t xml:space="preserve">I. INTRODUCTION</w:t>
      </w:r>
    </w:p>
    <w:p>
      <w:pPr/>
      <w:r>
        <w:rPr/>
        <w:t xml:space="preserve">Complainant respectfully submits this complaint to the Medical Board of California requesting formal investigation and regulatory review concerning Dean Sherzai (the Respondent), identified in the attached public materials.</w:t>
      </w:r>
    </w:p>
    <w:p>
      <w:pPr/>
      <w:r>
        <w:rPr/>
        <w:t xml:space="preserve">The public materials reviewed appear to present representations concerning the identification and management of health conditions, including Menopause as Empowerment, Not Decline, The Alzheimer’s Solution*, The Anti-Alzheimer’s Grocery List, Five-part program marketed to prevent Alzheimer’s and reverse symptoms, and Nutrition and lifestyle program presented as a comprehensive Alzheimer’s solution, that may extend beyond the Physician (MD/DO) scope in California.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https://richroll.com/podcast/mindy-pelz-926, https://www.amazon.com/gp/product/0062666479/ref=as_li_qf_sp_asin_il_tl?ie=UTF8&amp;tag=ricroloffweb-20&amp;camp=1789&amp;creative=9325&amp;linkCode=as2&amp;creativeASIN=0062666479&amp;linkId=a247efa723f1ff0fbdd44a0abd166bbe and the public registry and license verification sources listed in the exhibit index below.</w:t>
      </w:r>
    </w:p>
    <w:p>
      <w:pPr>
        <w:pStyle w:val="Heading1"/>
      </w:pPr>
      <w:r>
        <w:rPr/>
        <w:t xml:space="preserve">II. STATEMENT OF FACTS</w:t>
      </w:r>
    </w:p>
    <w:p>
      <w:pPr/>
      <w:r>
        <w:rPr/>
        <w:t xml:space="preserve">{"A. Public Marketing Representations":"Publicly posted content appears to represent that \"90% of all Alzheimer’s cases can be prevented,\" that \"for the 10% with a strong genetic risk for cognitive decline, the disease can be delayed for ten to fifteen years,\" and that there is a \"Team Sherzai’s 5-part program to prevent Alzheimer’s &amp; reverse symptomology.\" The same public content appears to state, \"Food is the single greatest tool we have in the fight against Alzheimer’s.\"","B. Scope of Practice Concerns":"Public content appears to address \"Menopause as Empowerment, Not Decline,\" \"The Alzheimer’s Solution*,\" \"The Anti-Alzheimer’s Grocery List,\" a five-part program marketed to prevent Alzheimer’s and reverse symptoms, and a nutrition and lifestyle program presented as a comprehensive Alzheimer’s solution. The applicable licensing rules appear to treat whether these subjects fall within the Physician (MD/DO) scope in the state as a gray area for the first two topics and suggest that the listed subjects may fall outside that scope for the remaining topics.","C. Consultation and Monetization Structure":"Public materials appear to describe a consultation and monetization structure that promotes one commerce partner. The compensation model is not yet established, and kickback or affiliate signals appear on one source.","D. Storefront and Product Sales":"Public materials appear to link to Amazon as another storefront or vendor. The vendor’s public materials describe compensation for such links.","E. Complainant's Own Experience":"[DESCRIBE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medical practice act and board advertising rules.</w:t>
      </w:r>
    </w:p>
    <w:p>
      <w:pPr/>
      <w:r>
        <w:rPr/>
        <w:t xml:space="preserve">The public materials described in the Statement of Facts above appear to address Menopause as Empowerment, Not Decline, The Alzheimer’s Solution*, The Anti-Alzheimer’s Grocery List, Five-part program marketed to prevent Alzheimer’s and reverse symptoms, and Nutrition and lifestyle program presented as a comprehensive Alzheimer’s solution, which the cited rule text suggests may fall outside the Physician (MD/DO) scope.</w:t>
      </w:r>
    </w:p>
    <w:p>
      <w:pPr/>
      <w:r>
        <w:rPr/>
        <w:t xml:space="preserve">The conduct described above raises substantial concerns under the state's medical practice act and board advertising rules and warrants Board investigation.</w:t>
      </w:r>
    </w:p>
    <w:p>
      <w:pPr>
        <w:pStyle w:val="Heading2"/>
      </w:pPr>
      <w:r>
        <w:rPr/>
        <w:t xml:space="preserve">COUNT II: ADVERTISING AND PUBLIC REPRESENTATION CONCERNS</w:t>
      </w:r>
    </w:p>
    <w:p>
      <w:pPr/>
      <w:r>
        <w:rPr/>
        <w:t xml:space="preserve">Cited authority: the state's medical practice act and board advertising rules.</w:t>
      </w:r>
    </w:p>
    <w:p>
      <w:pPr/>
      <w:r>
        <w:rPr/>
        <w:t xml:space="preserve">The public marketing representations and testimonials described above appear to present the practice's services without consistently identifying the limits of the Physician (MD/DO) scope or the practitioner's credentials.</w:t>
      </w:r>
    </w:p>
    <w:p>
      <w:pPr/>
      <w:r>
        <w:rPr/>
        <w:t xml:space="preserve">The conduct described above raises substantial concerns under the state's medical practice act and board advertising rules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https://search.dca.ca.gov/</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https://richroll.com/podcast/mindy-pelz-926</w:t>
            </w:r>
          </w:p>
        </w:tc>
        <w:tc>
          <w:tcPr>
            <w:tcW w:w="0" w:type="auto"/>
          </w:tcPr>
          <w:p>
            <w:pPr/>
            <w:r>
              <w:rPr/>
              <w:t xml:space="preserve">https://web.archive.org/web/20260824150716/https://richroll.com/podcast/mindy-pelz-926/ (captured 2026082415)</w:t>
            </w:r>
          </w:p>
        </w:tc>
      </w:tr>
      <w:tr>
        <w:tc>
          <w:tcPr>
            <w:tcW w:w="0" w:type="auto"/>
          </w:tcPr>
          <w:p>
            <w:pPr/>
            <w:r>
              <w:rPr/>
              <w:t xml:space="preserve">Exhibit C</w:t>
            </w:r>
          </w:p>
        </w:tc>
        <w:tc>
          <w:tcPr>
            <w:tcW w:w="0" w:type="auto"/>
          </w:tcPr>
          <w:p>
            <w:pPr/>
            <w:r>
              <w:rPr/>
              <w:t xml:space="preserve">Storefront or vendor link (Amazon)</w:t>
            </w:r>
          </w:p>
        </w:tc>
        <w:tc>
          <w:tcPr>
            <w:tcW w:w="0" w:type="auto"/>
          </w:tcPr>
          <w:p>
            <w:pPr/>
            <w:r>
              <w:rPr/>
              <w:t xml:space="preserve">https://www.amazon.com/gp/product/0062666479/ref=as_li_qf_sp_asin_il_tl?ie=UTF8&amp;tag=ricroloffweb-20&amp;camp=1789&amp;creative=9325&amp;linkCode=as2&amp;creativeASIN=0062666479&amp;linkId=a247efa723f1ff0fbdd44a0abd166bbe</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