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Frederick Ashley Clary</w:t>
      </w:r>
    </w:p>
    <w:p>
      <w:pPr/>
      <w:r>
        <w:rPr/>
        <w:t xml:space="preserve">License No. [LICENSE NUMBER, IF KNOWN]</w:t>
      </w:r>
    </w:p>
    <w:p>
      <w:pPr/>
      <w:r>
        <w:rPr/>
        <w:t xml:space="preserve">A Functional Life Chiropractic Clinic</w:t>
      </w:r>
    </w:p>
    <w:p>
      <w:pPr/>
      <w:r>
        <w:rPr/>
        <w:t xml:space="preserve">2677 Innsbruck Drive Ste. D, New Brighton, Minnesota, 55112</w:t>
      </w:r>
    </w:p>
    <w:p>
      <w:pPr/>
      <w:r>
        <w:rPr/>
        <w:t xml:space="preserve">NPI (public registry): 1336101674</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Frederick Ashley Clary (the Respondent), practicing through A Functional Life Chiropractic Clinic, 2677 Innsbruck Drive Ste. D, New Brighton, Minnesota, 55112.</w:t>
      </w:r>
    </w:p>
    <w:p>
      <w:pPr/>
      <w:r>
        <w:rPr/>
        <w:t xml:space="preserve">The public materials reviewed appear to present representations concerning the identification and management of health conditions, including Brain Injuries, Movement Disorders, Stroke Rehabilitation, Cerebral Palsy, Establishing a diagnosis, and Treatment of brain injuries, movement disorders, stroke rehabilitation, and cerebral palsy, that may extend beyond the DC scope in Minnesota.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https://aflmn.com/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Frederick Ashley Clary appears to include the representations “Cerebral Palsy,” “Children,” “Babies,” and “Establishing a diagnosis.”</w:t>
      </w:r>
    </w:p>
    <w:p>
      <w:pPr>
        <w:pStyle w:val="Heading2"/>
      </w:pPr>
      <w:r>
        <w:rPr/>
        <w:t xml:space="preserve">B. Scope of Practice Concerns</w:t>
      </w:r>
    </w:p>
    <w:p>
      <w:pPr/>
      <w:r>
        <w:rPr/>
        <w:t xml:space="preserve">Public content appears to address brain injuries, movement disorders, stroke rehabilitation, and cerebral palsy, including treatment of those conditions. The applicable licensing rules suggest that these subjects may fall outside the DC scope in Minnesota. Public content also appears to address establishing a diagnosis, which the applicable licensing rules treat as a gray area.</w:t>
      </w:r>
    </w:p>
    <w:p>
      <w:pPr>
        <w:pStyle w:val="Heading2"/>
      </w:pPr>
      <w:r>
        <w:rPr/>
        <w:t xml:space="preserve">C. Consultation and Monetization Structure</w:t>
      </w:r>
    </w:p>
    <w:p>
      <w:pPr/>
      <w:r>
        <w:rPr/>
        <w:t xml:space="preserve">Public materials appear to describe a consultation and monetization structure with kickback or affiliate signals on two sources.</w:t>
      </w:r>
    </w:p>
    <w:p>
      <w:pPr>
        <w:pStyle w:val="Heading2"/>
      </w:pPr>
      <w:r>
        <w:rPr/>
        <w:t xml:space="preserve">D.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Brain Injuries, Movement Disorders, Stroke Rehabilitation, Cerebral Palsy, Establishing a diagnosis, and Treatment of brain injuries, movement disorders, stroke rehabilitation, and cerebral palsy,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https://aflmn.com/</w:t>
            </w:r>
          </w:p>
        </w:tc>
        <w:tc>
          <w:tcPr>
            <w:tcW w:w="0" w:type="auto"/>
          </w:tcPr>
          <w:p>
            <w:pPr/>
            <w:r>
              <w:rPr/>
              <w:t xml:space="preserve">https://web.archive.org/web/20260509192340/https://aflmn.com/ (captured 2026050919)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