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Minnesota. It is not legal advice.</w:t>
      </w:r>
    </w:p>
    <w:p>
      <w:pPr>
        <w:jc w:val="center"/>
      </w:pPr>
      <w:r>
        <w:rPr>
          <w:b/>
        </w:rPr>
        <w:t xml:space="preserve">MINNESOTA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Fred Clary</w:t>
      </w:r>
    </w:p>
    <w:p>
      <w:pPr/>
      <w:r>
        <w:rPr/>
        <w:t xml:space="preserve">License No. [LICENSE NUMBER, IF KNOWN]</w:t>
      </w:r>
    </w:p>
    <w:p>
      <w:pPr/>
      <w:r>
        <w:rPr/>
        <w:t xml:space="preserve">A Functional Life Chiropractic Clinic</w:t>
      </w:r>
    </w:p>
    <w:p>
      <w:pPr/>
      <w:r>
        <w:rPr/>
        <w:t xml:space="preserve">2677 Innsbruck Drive Ste. D, New Brighton, Minnesota, 55112</w:t>
      </w:r>
    </w:p>
    <w:p>
      <w:pPr/>
      <w:r>
        <w:rPr/>
        <w:t xml:space="preserve">NPI (public registry): 1336101674</w:t>
      </w:r>
    </w:p>
    <w:p>
      <w:pPr>
        <w:pStyle w:val="Heading1"/>
      </w:pPr>
      <w:r>
        <w:rPr/>
        <w:t xml:space="preserve">I. INTRODUCTION</w:t>
      </w:r>
    </w:p>
    <w:p>
      <w:pPr/>
      <w:r>
        <w:rPr/>
        <w:t xml:space="preserve">Complainant respectfully submits this complaint to the MINNESOTA BOARD OF CHIROPRACTIC EXAMINERS requesting formal investigation and regulatory review concerning Fred Clary (the Respondent), practicing through A Functional Life Chiropractic Clinic, 2677 Innsbruck Drive Ste. D, New Brighton, Minnesota, 55112.</w:t>
      </w:r>
    </w:p>
    <w:p>
      <w:pPr/>
      <w:r>
        <w:rPr/>
        <w:t xml:space="preserve">The public materials reviewed appear to present representations concerning the identification and management of health conditions, including Brain Injuries, Movement Disorders, Stroke Rehabilitation, Cerebral Palsy, Children, and Babies, that may extend beyond the DC scope in Minnesota.</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https://aflmn.com/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 content appears to address Brain Injuries, Movement Disorders, Stroke Rehabilitation, Cerebral Palsy, Children, Babies, establishing a diagnosis, chiropractic case management, Vitamins &amp; Supplements, an introduction letter, promoting health, and education, and the cited rule text suggests that these subjects may fall outside the DC scope in Minnesota. The cited rule text treats chiropractic case management as a gray area.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Minn. Stat. Sections 148.01 to 148.108.</w:t>
      </w:r>
    </w:p>
    <w:p>
      <w:pPr/>
      <w:r>
        <w:rPr/>
        <w:t xml:space="preserve">The public materials described in the Statement of Facts above appear to address Brain Injuries, Movement Disorders, Stroke Rehabilitation, Cerebral Palsy, Children, Babies, Establishing a diagnosis, chiropractic case management, Vitamins &amp; Supplements, introduction letter, promoting health, and education, which the cited rule text suggests may fall outside the DC scope.</w:t>
      </w:r>
    </w:p>
    <w:p>
      <w:pPr/>
      <w:r>
        <w:rPr/>
        <w:t xml:space="preserve">The conduct described above raises substantial concerns under Minn. Stat. Sections 148.01 to 148.108 and warrants Board investigation.</w:t>
      </w:r>
    </w:p>
    <w:p>
      <w:pPr>
        <w:pStyle w:val="Heading2"/>
      </w:pPr>
      <w:r>
        <w:rPr/>
        <w:t xml:space="preserve">COUNT II: DIAGNOSTIC TESTING AND MEDICAL-STYLE EVALUATION</w:t>
      </w:r>
    </w:p>
    <w:p>
      <w:pPr/>
      <w:r>
        <w:rPr/>
        <w:t xml:space="preserve">Cited authority: Minn. Stat. Section 148.01.</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Minn. Stat. Section 148.01 and warrants Board investigation.</w:t>
      </w:r>
    </w:p>
    <w:p>
      <w:pPr>
        <w:pStyle w:val="Heading2"/>
      </w:pPr>
      <w:r>
        <w:rPr/>
        <w:t xml:space="preserve">COUNT III: GROUNDS FOR DISCIPLINARY ACTION</w:t>
      </w:r>
    </w:p>
    <w:p>
      <w:pPr/>
      <w:r>
        <w:rPr/>
        <w:t xml:space="preserve">Cited authority: Minn. Stat. Section 148.10.</w:t>
      </w:r>
    </w:p>
    <w:p>
      <w:pPr/>
      <w:r>
        <w:rPr/>
        <w:t xml:space="preserve">The conduct described above raises substantial concerns under Minn. Stat. Section 148.10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https://mn.gov/boards/chiropractic-examiners/licenseelookup/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https://aflmn.com/</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